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C3D" w:rsidRPr="004F4DCD" w:rsidRDefault="00187C3D" w:rsidP="00FA0BD8">
      <w:pPr>
        <w:pStyle w:val="Textoindependiente"/>
        <w:widowControl w:val="0"/>
        <w:tabs>
          <w:tab w:val="left" w:pos="2410"/>
          <w:tab w:val="left" w:pos="3261"/>
          <w:tab w:val="left" w:pos="3544"/>
          <w:tab w:val="left" w:pos="5954"/>
          <w:tab w:val="left" w:pos="6946"/>
        </w:tabs>
        <w:suppressAutoHyphens/>
        <w:spacing w:after="0" w:line="240" w:lineRule="auto"/>
        <w:ind w:left="3261" w:right="2693" w:hanging="1134"/>
        <w:jc w:val="both"/>
        <w:rPr>
          <w:rFonts w:ascii="Tahoma" w:hAnsi="Tahoma" w:cs="Tahoma"/>
          <w:i/>
          <w:sz w:val="20"/>
          <w:szCs w:val="20"/>
          <w:lang w:val="es-PE"/>
        </w:rPr>
      </w:pPr>
      <w:r w:rsidRPr="00EC23BB">
        <w:rPr>
          <w:rFonts w:ascii="Tahoma" w:hAnsi="Tahoma" w:cs="Tahoma"/>
          <w:b/>
          <w:i/>
          <w:sz w:val="20"/>
          <w:szCs w:val="20"/>
        </w:rPr>
        <w:t>Sumilla</w:t>
      </w:r>
      <w:r w:rsidR="004B74C6" w:rsidRPr="00EC23BB">
        <w:rPr>
          <w:rFonts w:ascii="Tahoma" w:hAnsi="Tahoma" w:cs="Tahoma"/>
          <w:b/>
          <w:i/>
          <w:sz w:val="20"/>
          <w:szCs w:val="20"/>
        </w:rPr>
        <w:t xml:space="preserve">: </w:t>
      </w:r>
      <w:r w:rsidR="00F97C71">
        <w:rPr>
          <w:rFonts w:ascii="Tahoma" w:hAnsi="Tahoma" w:cs="Tahoma"/>
          <w:b/>
          <w:i/>
          <w:sz w:val="20"/>
          <w:szCs w:val="20"/>
        </w:rPr>
        <w:t xml:space="preserve"> </w:t>
      </w:r>
      <w:r w:rsidR="00842F17">
        <w:rPr>
          <w:rFonts w:ascii="Tahoma" w:hAnsi="Tahoma" w:cs="Tahoma"/>
          <w:b/>
          <w:i/>
          <w:sz w:val="20"/>
          <w:szCs w:val="20"/>
        </w:rPr>
        <w:t xml:space="preserve"> </w:t>
      </w:r>
      <w:r w:rsidR="004B74C6" w:rsidRPr="004F4DCD">
        <w:rPr>
          <w:rFonts w:ascii="Tahoma" w:hAnsi="Tahoma" w:cs="Tahoma"/>
          <w:i/>
          <w:sz w:val="20"/>
          <w:szCs w:val="20"/>
        </w:rPr>
        <w:t>El procedimiento de resolución contractual ha sido previsto en el artículo 226</w:t>
      </w:r>
      <w:r w:rsidR="00F97C71" w:rsidRPr="004F4DCD">
        <w:rPr>
          <w:rFonts w:ascii="Tahoma" w:hAnsi="Tahoma" w:cs="Tahoma"/>
          <w:i/>
          <w:sz w:val="20"/>
          <w:szCs w:val="20"/>
        </w:rPr>
        <w:t>º</w:t>
      </w:r>
      <w:r w:rsidR="004B74C6" w:rsidRPr="004F4DCD">
        <w:rPr>
          <w:rFonts w:ascii="Tahoma" w:hAnsi="Tahoma" w:cs="Tahoma"/>
          <w:i/>
          <w:sz w:val="20"/>
          <w:szCs w:val="20"/>
        </w:rPr>
        <w:t xml:space="preserve"> del Reglamento, el cual dispone que en caso de incumplimiento contractual, la parte afectada requerirá a la otra notarialmente para que satisfaga sus obligaciones en un plazo no mayor de cinco días, bajo apercibimiento de resolver el contrato.</w:t>
      </w:r>
    </w:p>
    <w:p w:rsidR="00187C3D" w:rsidRPr="00EC23BB" w:rsidRDefault="00187C3D" w:rsidP="000A3341">
      <w:pPr>
        <w:pStyle w:val="Textoindependiente"/>
        <w:widowControl w:val="0"/>
        <w:tabs>
          <w:tab w:val="left" w:pos="2410"/>
          <w:tab w:val="left" w:pos="3402"/>
          <w:tab w:val="left" w:pos="6379"/>
          <w:tab w:val="left" w:pos="6946"/>
        </w:tabs>
        <w:suppressAutoHyphens/>
        <w:spacing w:after="0" w:line="240" w:lineRule="auto"/>
        <w:ind w:left="3402" w:right="2268" w:hanging="850"/>
        <w:jc w:val="both"/>
        <w:rPr>
          <w:rFonts w:ascii="Tahoma" w:hAnsi="Tahoma" w:cs="Tahoma"/>
          <w:i/>
          <w:sz w:val="20"/>
          <w:szCs w:val="20"/>
          <w:lang w:val="es-PE"/>
        </w:rPr>
      </w:pPr>
    </w:p>
    <w:p w:rsidR="00187C3D" w:rsidRPr="00EC23BB" w:rsidRDefault="00187C3D" w:rsidP="000A3341">
      <w:pPr>
        <w:pStyle w:val="Textoindependiente3"/>
        <w:spacing w:after="0"/>
        <w:ind w:left="4248" w:right="179" w:firstLine="708"/>
        <w:jc w:val="both"/>
        <w:rPr>
          <w:rFonts w:ascii="Tahoma" w:hAnsi="Tahoma" w:cs="Tahoma"/>
          <w:sz w:val="20"/>
          <w:szCs w:val="20"/>
        </w:rPr>
      </w:pPr>
      <w:r w:rsidRPr="00EC23BB">
        <w:rPr>
          <w:rFonts w:ascii="Tahoma" w:hAnsi="Tahoma" w:cs="Tahoma"/>
          <w:b/>
          <w:sz w:val="20"/>
          <w:szCs w:val="20"/>
        </w:rPr>
        <w:t>Lima</w:t>
      </w:r>
      <w:r w:rsidRPr="00EC23BB">
        <w:rPr>
          <w:rFonts w:ascii="Tahoma" w:hAnsi="Tahoma" w:cs="Tahoma"/>
          <w:sz w:val="20"/>
          <w:szCs w:val="20"/>
        </w:rPr>
        <w:t xml:space="preserve">, </w:t>
      </w:r>
      <w:r w:rsidR="00357D66">
        <w:rPr>
          <w:rFonts w:ascii="Tahoma" w:hAnsi="Tahoma" w:cs="Tahoma"/>
          <w:sz w:val="20"/>
          <w:szCs w:val="20"/>
        </w:rPr>
        <w:t>01 de Julio de 2011</w:t>
      </w:r>
    </w:p>
    <w:p w:rsidR="00187C3D" w:rsidRPr="00EC23BB" w:rsidRDefault="00187C3D" w:rsidP="000A3341">
      <w:pPr>
        <w:pStyle w:val="Textoindependiente3"/>
        <w:spacing w:after="0"/>
        <w:jc w:val="both"/>
        <w:rPr>
          <w:rFonts w:ascii="Tahoma" w:hAnsi="Tahoma" w:cs="Tahoma"/>
          <w:sz w:val="20"/>
          <w:szCs w:val="20"/>
        </w:rPr>
      </w:pPr>
    </w:p>
    <w:p w:rsidR="00187C3D" w:rsidRPr="00EC23BB" w:rsidRDefault="00187C3D" w:rsidP="000A3341">
      <w:pPr>
        <w:spacing w:after="0" w:line="240" w:lineRule="auto"/>
        <w:jc w:val="both"/>
        <w:rPr>
          <w:rFonts w:ascii="Tahoma" w:hAnsi="Tahoma" w:cs="Tahoma"/>
          <w:sz w:val="20"/>
          <w:szCs w:val="20"/>
          <w:lang w:val="es-MX"/>
        </w:rPr>
      </w:pPr>
      <w:r w:rsidRPr="00EC23BB">
        <w:rPr>
          <w:rFonts w:ascii="Tahoma" w:hAnsi="Tahoma" w:cs="Tahoma"/>
          <w:sz w:val="20"/>
          <w:szCs w:val="20"/>
        </w:rPr>
        <w:t xml:space="preserve">VISTO en sesión de fecha </w:t>
      </w:r>
      <w:r w:rsidR="00973730" w:rsidRPr="00EC23BB">
        <w:rPr>
          <w:rFonts w:ascii="Tahoma" w:hAnsi="Tahoma" w:cs="Tahoma"/>
          <w:sz w:val="20"/>
          <w:szCs w:val="20"/>
        </w:rPr>
        <w:t>30</w:t>
      </w:r>
      <w:r w:rsidRPr="00EC23BB">
        <w:rPr>
          <w:rFonts w:ascii="Tahoma" w:hAnsi="Tahoma" w:cs="Tahoma"/>
          <w:sz w:val="20"/>
          <w:szCs w:val="20"/>
        </w:rPr>
        <w:t xml:space="preserve"> de junio de 2011 de la Primera Sala del Tribunal de Contrataciones del Estado el Expediente № </w:t>
      </w:r>
      <w:r w:rsidR="00973730" w:rsidRPr="00EC23BB">
        <w:rPr>
          <w:rFonts w:ascii="Tahoma" w:hAnsi="Tahoma" w:cs="Tahoma"/>
          <w:sz w:val="20"/>
          <w:szCs w:val="20"/>
        </w:rPr>
        <w:t>4111</w:t>
      </w:r>
      <w:r w:rsidRPr="00EC23BB">
        <w:rPr>
          <w:rFonts w:ascii="Tahoma" w:hAnsi="Tahoma" w:cs="Tahoma"/>
          <w:sz w:val="20"/>
          <w:szCs w:val="20"/>
        </w:rPr>
        <w:t>/20</w:t>
      </w:r>
      <w:r w:rsidR="00973730" w:rsidRPr="00EC23BB">
        <w:rPr>
          <w:rFonts w:ascii="Tahoma" w:hAnsi="Tahoma" w:cs="Tahoma"/>
          <w:sz w:val="20"/>
          <w:szCs w:val="20"/>
        </w:rPr>
        <w:t>08</w:t>
      </w:r>
      <w:r w:rsidRPr="00EC23BB">
        <w:rPr>
          <w:rFonts w:ascii="Tahoma" w:hAnsi="Tahoma" w:cs="Tahoma"/>
          <w:sz w:val="20"/>
          <w:szCs w:val="20"/>
        </w:rPr>
        <w:t xml:space="preserve">.TC, sobre el procedimiento administrativo sancionador contra </w:t>
      </w:r>
      <w:r w:rsidRPr="00EC23BB">
        <w:rPr>
          <w:rFonts w:ascii="Tahoma" w:hAnsi="Tahoma" w:cs="Tahoma"/>
          <w:sz w:val="20"/>
          <w:szCs w:val="20"/>
          <w:lang w:val="es-PE"/>
        </w:rPr>
        <w:t xml:space="preserve">la </w:t>
      </w:r>
      <w:r w:rsidR="00973730" w:rsidRPr="00EC23BB">
        <w:rPr>
          <w:rFonts w:ascii="Tahoma" w:hAnsi="Tahoma" w:cs="Tahoma"/>
          <w:sz w:val="20"/>
          <w:szCs w:val="20"/>
        </w:rPr>
        <w:t>firma VILATO del Sr. Abel Félix Vilcherrez Macalupu</w:t>
      </w:r>
      <w:r w:rsidRPr="00EC23BB">
        <w:rPr>
          <w:rFonts w:ascii="Tahoma" w:hAnsi="Tahoma" w:cs="Tahoma"/>
          <w:sz w:val="20"/>
          <w:szCs w:val="20"/>
        </w:rPr>
        <w:t xml:space="preserve">, </w:t>
      </w:r>
      <w:r w:rsidRPr="00EC23BB">
        <w:rPr>
          <w:rFonts w:ascii="Tahoma" w:hAnsi="Tahoma" w:cs="Tahoma"/>
          <w:sz w:val="20"/>
          <w:szCs w:val="20"/>
          <w:lang w:val="es-MX"/>
        </w:rPr>
        <w:t xml:space="preserve">por la </w:t>
      </w:r>
      <w:r w:rsidR="00973730" w:rsidRPr="00EC23BB">
        <w:rPr>
          <w:rFonts w:ascii="Tahoma" w:hAnsi="Tahoma" w:cs="Tahoma"/>
          <w:sz w:val="20"/>
          <w:szCs w:val="20"/>
          <w:lang w:val="es-MX"/>
        </w:rPr>
        <w:t>supuesta responsabilidad al haber dado lugar a la resolución de las Ordenes de compra Nº 900, 901, 1194 y 1195-2008</w:t>
      </w:r>
      <w:r w:rsidR="00272AD5">
        <w:rPr>
          <w:rFonts w:ascii="Tahoma" w:hAnsi="Tahoma" w:cs="Tahoma"/>
          <w:sz w:val="20"/>
          <w:szCs w:val="20"/>
          <w:lang w:val="es-MX"/>
        </w:rPr>
        <w:t>,</w:t>
      </w:r>
      <w:r w:rsidR="00783FE2" w:rsidRPr="00EC23BB">
        <w:rPr>
          <w:rFonts w:ascii="Tahoma" w:hAnsi="Tahoma" w:cs="Tahoma"/>
          <w:sz w:val="20"/>
          <w:szCs w:val="20"/>
          <w:lang w:val="es-MX"/>
        </w:rPr>
        <w:t xml:space="preserve"> por causal atribuible a su parte, derivadas de </w:t>
      </w:r>
      <w:r w:rsidR="00783FE2" w:rsidRPr="00EC23BB">
        <w:rPr>
          <w:rFonts w:ascii="Tahoma" w:hAnsi="Tahoma" w:cs="Tahoma"/>
          <w:sz w:val="20"/>
          <w:szCs w:val="20"/>
        </w:rPr>
        <w:t>la Adjudicación de Menor Cuantía por</w:t>
      </w:r>
      <w:r w:rsidR="00783FE2" w:rsidRPr="00EC23BB">
        <w:rPr>
          <w:rFonts w:ascii="Tahoma" w:hAnsi="Tahoma" w:cs="Tahoma"/>
          <w:bCs/>
          <w:sz w:val="20"/>
          <w:szCs w:val="20"/>
        </w:rPr>
        <w:t xml:space="preserve"> </w:t>
      </w:r>
      <w:r w:rsidR="00CD0AC9" w:rsidRPr="00EC23BB">
        <w:rPr>
          <w:rFonts w:ascii="Tahoma" w:hAnsi="Tahoma" w:cs="Tahoma"/>
          <w:sz w:val="20"/>
          <w:szCs w:val="20"/>
        </w:rPr>
        <w:t>subasta inversa presencial</w:t>
      </w:r>
      <w:r w:rsidR="00783FE2" w:rsidRPr="00EC23BB">
        <w:rPr>
          <w:rFonts w:ascii="Tahoma" w:hAnsi="Tahoma" w:cs="Tahoma"/>
          <w:sz w:val="20"/>
          <w:szCs w:val="20"/>
        </w:rPr>
        <w:t xml:space="preserve"> Nº </w:t>
      </w:r>
      <w:r w:rsidR="00272AD5">
        <w:rPr>
          <w:rFonts w:ascii="Tahoma" w:hAnsi="Tahoma" w:cs="Tahoma"/>
          <w:sz w:val="20"/>
          <w:szCs w:val="20"/>
        </w:rPr>
        <w:t>00</w:t>
      </w:r>
      <w:r w:rsidR="00783FE2" w:rsidRPr="00EC23BB">
        <w:rPr>
          <w:rFonts w:ascii="Tahoma" w:hAnsi="Tahoma" w:cs="Tahoma"/>
          <w:sz w:val="20"/>
          <w:szCs w:val="20"/>
        </w:rPr>
        <w:t xml:space="preserve">4-2007/CEP-CJM-GCJ-GG-PJ, </w:t>
      </w:r>
      <w:r w:rsidR="00EC23BB" w:rsidRPr="00EC23BB">
        <w:rPr>
          <w:rFonts w:ascii="Tahoma" w:hAnsi="Tahoma" w:cs="Tahoma"/>
          <w:sz w:val="20"/>
          <w:szCs w:val="20"/>
        </w:rPr>
        <w:t xml:space="preserve">efectuada por el Poder Judicial </w:t>
      </w:r>
      <w:r w:rsidR="00783FE2" w:rsidRPr="00EC23BB">
        <w:rPr>
          <w:rFonts w:ascii="Tahoma" w:hAnsi="Tahoma" w:cs="Tahoma"/>
          <w:sz w:val="20"/>
          <w:szCs w:val="20"/>
        </w:rPr>
        <w:t xml:space="preserve">para </w:t>
      </w:r>
      <w:r w:rsidR="00CD0AC9">
        <w:rPr>
          <w:rFonts w:ascii="Tahoma" w:hAnsi="Tahoma" w:cs="Tahoma"/>
          <w:sz w:val="20"/>
          <w:szCs w:val="20"/>
        </w:rPr>
        <w:t xml:space="preserve">el </w:t>
      </w:r>
      <w:r w:rsidR="00783FE2" w:rsidRPr="00EC23BB">
        <w:rPr>
          <w:rFonts w:ascii="Tahoma" w:hAnsi="Tahoma" w:cs="Tahoma"/>
          <w:sz w:val="20"/>
          <w:szCs w:val="20"/>
        </w:rPr>
        <w:t>suministro de arroz, frejol, azúcar y aceite para el centro juvenil Miguel Grau De Piura;</w:t>
      </w:r>
      <w:r w:rsidRPr="00EC23BB">
        <w:rPr>
          <w:rFonts w:ascii="Tahoma" w:hAnsi="Tahoma" w:cs="Tahoma"/>
          <w:sz w:val="20"/>
          <w:szCs w:val="20"/>
        </w:rPr>
        <w:t xml:space="preserve"> y, atendiendo a los siguientes:   </w:t>
      </w:r>
    </w:p>
    <w:p w:rsidR="00187C3D" w:rsidRPr="00EC23BB" w:rsidRDefault="00187C3D" w:rsidP="000A3341">
      <w:pPr>
        <w:spacing w:after="0" w:line="240" w:lineRule="auto"/>
        <w:ind w:right="45"/>
        <w:jc w:val="both"/>
        <w:rPr>
          <w:rFonts w:ascii="Tahoma" w:hAnsi="Tahoma" w:cs="Tahoma"/>
          <w:sz w:val="20"/>
          <w:szCs w:val="20"/>
        </w:rPr>
      </w:pPr>
    </w:p>
    <w:p w:rsidR="00187C3D" w:rsidRPr="00EC23BB" w:rsidRDefault="00187C3D" w:rsidP="000A3341">
      <w:pPr>
        <w:pStyle w:val="Ttulo2"/>
        <w:jc w:val="both"/>
        <w:rPr>
          <w:rFonts w:cs="Tahoma"/>
          <w:sz w:val="20"/>
        </w:rPr>
      </w:pPr>
      <w:r w:rsidRPr="00EC23BB">
        <w:rPr>
          <w:rFonts w:cs="Tahoma"/>
          <w:sz w:val="20"/>
        </w:rPr>
        <w:t>ANTECEDENTES:</w:t>
      </w:r>
    </w:p>
    <w:p w:rsidR="00EC23BB" w:rsidRDefault="00EC23BB"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El 20 de noviembre de 2007, el Poder Judicial, en lo sucesivo la Entidad, convocó a la Adjudicación de Menor Cuantía por</w:t>
      </w:r>
      <w:r w:rsidRPr="00EC23BB">
        <w:rPr>
          <w:rFonts w:ascii="Tahoma" w:hAnsi="Tahoma" w:cs="Tahoma"/>
          <w:b/>
          <w:bCs/>
          <w:sz w:val="20"/>
          <w:szCs w:val="20"/>
        </w:rPr>
        <w:t xml:space="preserve"> </w:t>
      </w:r>
      <w:r w:rsidRPr="00EC23BB">
        <w:rPr>
          <w:rFonts w:ascii="Tahoma" w:hAnsi="Tahoma" w:cs="Tahoma"/>
          <w:sz w:val="20"/>
          <w:szCs w:val="20"/>
        </w:rPr>
        <w:t>SUBASTA INVERSA PRESENCIAL Nº 4-2007/CEP-CJM-GCJ-GG-PJ, para suministro de arroz, frejol, azúcar y aceite para el centro juvenil Miguel Grau De Piura, por un valor referencial ascendente a S/. 29,604.40.00 (Veintinueve Mil Seiscientos Cuatro con 40/100 Nuevos Soles),</w:t>
      </w:r>
      <w:r w:rsidRPr="00EC23BB">
        <w:rPr>
          <w:rFonts w:ascii="Tahoma" w:hAnsi="Tahoma" w:cs="Tahoma"/>
          <w:b/>
          <w:bCs/>
          <w:sz w:val="20"/>
          <w:szCs w:val="20"/>
        </w:rPr>
        <w:t xml:space="preserve"> </w:t>
      </w:r>
      <w:r w:rsidRPr="00EC23BB">
        <w:rPr>
          <w:rFonts w:ascii="Tahoma" w:hAnsi="Tahoma" w:cs="Tahoma"/>
          <w:sz w:val="20"/>
          <w:szCs w:val="20"/>
        </w:rPr>
        <w:t>incluido el impuesto general a las ventas (I.G.V), y cualquier otro concepto que pueda incidir sobre el costo de los bienes, calculado al mes de Octubre 2007, de conformidad a la distribución de los siguientes ítems:</w:t>
      </w:r>
    </w:p>
    <w:p w:rsidR="00A00207" w:rsidRPr="00EC23BB" w:rsidRDefault="00A00207" w:rsidP="000A3341">
      <w:pPr>
        <w:spacing w:line="240" w:lineRule="auto"/>
        <w:ind w:left="720"/>
        <w:rPr>
          <w:rFonts w:ascii="Tahoma" w:hAnsi="Tahoma" w:cs="Tahoma"/>
          <w:sz w:val="20"/>
          <w:szCs w:val="20"/>
        </w:rPr>
      </w:pPr>
    </w:p>
    <w:tbl>
      <w:tblPr>
        <w:tblW w:w="8487" w:type="dxa"/>
        <w:tblInd w:w="1373" w:type="dxa"/>
        <w:tblCellMar>
          <w:left w:w="70" w:type="dxa"/>
          <w:right w:w="70" w:type="dxa"/>
        </w:tblCellMar>
        <w:tblLook w:val="0000"/>
      </w:tblPr>
      <w:tblGrid>
        <w:gridCol w:w="708"/>
        <w:gridCol w:w="1843"/>
        <w:gridCol w:w="1134"/>
        <w:gridCol w:w="857"/>
        <w:gridCol w:w="844"/>
        <w:gridCol w:w="992"/>
        <w:gridCol w:w="2109"/>
      </w:tblGrid>
      <w:tr w:rsidR="00A00207" w:rsidRPr="00EC23BB" w:rsidTr="00022E69">
        <w:trPr>
          <w:gridAfter w:val="1"/>
          <w:wAfter w:w="2109" w:type="dxa"/>
          <w:cantSplit/>
          <w:trHeight w:val="478"/>
        </w:trPr>
        <w:tc>
          <w:tcPr>
            <w:tcW w:w="708" w:type="dxa"/>
            <w:vMerge w:val="restart"/>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r w:rsidRPr="00EC23BB">
              <w:rPr>
                <w:rFonts w:ascii="Tahoma" w:hAnsi="Tahoma" w:cs="Tahoma"/>
                <w:b/>
                <w:bCs/>
                <w:sz w:val="16"/>
                <w:szCs w:val="16"/>
              </w:rPr>
              <w:t>Ítem</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r w:rsidRPr="00EC23BB">
              <w:rPr>
                <w:rFonts w:ascii="Tahoma" w:hAnsi="Tahoma" w:cs="Tahoma"/>
                <w:b/>
                <w:bCs/>
                <w:sz w:val="16"/>
                <w:szCs w:val="16"/>
              </w:rPr>
              <w:t>Descripción del Bien</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r w:rsidRPr="00EC23BB">
              <w:rPr>
                <w:rFonts w:ascii="Tahoma" w:hAnsi="Tahoma" w:cs="Tahoma"/>
                <w:b/>
                <w:bCs/>
                <w:sz w:val="16"/>
                <w:szCs w:val="16"/>
              </w:rPr>
              <w:t>Unidad</w:t>
            </w:r>
          </w:p>
        </w:tc>
        <w:tc>
          <w:tcPr>
            <w:tcW w:w="857" w:type="dxa"/>
            <w:vMerge w:val="restart"/>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r w:rsidRPr="00EC23BB">
              <w:rPr>
                <w:rFonts w:ascii="Tahoma" w:hAnsi="Tahoma" w:cs="Tahoma"/>
                <w:b/>
                <w:bCs/>
                <w:sz w:val="16"/>
                <w:szCs w:val="16"/>
              </w:rPr>
              <w:t>Cantidad</w:t>
            </w:r>
          </w:p>
        </w:tc>
        <w:tc>
          <w:tcPr>
            <w:tcW w:w="844" w:type="dxa"/>
            <w:vMerge w:val="restart"/>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r w:rsidRPr="00EC23BB">
              <w:rPr>
                <w:rFonts w:ascii="Tahoma" w:hAnsi="Tahoma" w:cs="Tahoma"/>
                <w:b/>
                <w:bCs/>
                <w:sz w:val="16"/>
                <w:szCs w:val="16"/>
              </w:rPr>
              <w:t>Precio Unitario (S/.)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r w:rsidRPr="00EC23BB">
              <w:rPr>
                <w:rFonts w:ascii="Tahoma" w:hAnsi="Tahoma" w:cs="Tahoma"/>
                <w:b/>
                <w:bCs/>
                <w:sz w:val="16"/>
                <w:szCs w:val="16"/>
              </w:rPr>
              <w:t>Precio Total (S/.)</w:t>
            </w:r>
          </w:p>
        </w:tc>
      </w:tr>
      <w:tr w:rsidR="00A00207" w:rsidRPr="00EC23BB" w:rsidTr="00CD0AC9">
        <w:trPr>
          <w:gridAfter w:val="1"/>
          <w:wAfter w:w="2109" w:type="dxa"/>
          <w:cantSplit/>
          <w:trHeight w:val="393"/>
        </w:trPr>
        <w:tc>
          <w:tcPr>
            <w:tcW w:w="708" w:type="dxa"/>
            <w:vMerge/>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p>
        </w:tc>
        <w:tc>
          <w:tcPr>
            <w:tcW w:w="1843" w:type="dxa"/>
            <w:vMerge/>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p>
        </w:tc>
        <w:tc>
          <w:tcPr>
            <w:tcW w:w="857" w:type="dxa"/>
            <w:vMerge/>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p>
        </w:tc>
        <w:tc>
          <w:tcPr>
            <w:tcW w:w="844" w:type="dxa"/>
            <w:vMerge/>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p>
        </w:tc>
        <w:tc>
          <w:tcPr>
            <w:tcW w:w="992" w:type="dxa"/>
            <w:vMerge/>
            <w:tcBorders>
              <w:top w:val="single" w:sz="8" w:space="0" w:color="auto"/>
              <w:left w:val="single" w:sz="8" w:space="0" w:color="auto"/>
              <w:bottom w:val="single" w:sz="8" w:space="0" w:color="000000"/>
              <w:right w:val="single" w:sz="8" w:space="0" w:color="auto"/>
            </w:tcBorders>
            <w:shd w:val="clear" w:color="auto" w:fill="A6A6A6"/>
            <w:vAlign w:val="center"/>
          </w:tcPr>
          <w:p w:rsidR="00A00207" w:rsidRPr="00EC23BB" w:rsidRDefault="00A00207" w:rsidP="000A3341">
            <w:pPr>
              <w:spacing w:line="240" w:lineRule="auto"/>
              <w:jc w:val="center"/>
              <w:rPr>
                <w:rFonts w:ascii="Tahoma" w:hAnsi="Tahoma" w:cs="Tahoma"/>
                <w:b/>
                <w:bCs/>
                <w:sz w:val="16"/>
                <w:szCs w:val="16"/>
              </w:rPr>
            </w:pPr>
          </w:p>
        </w:tc>
      </w:tr>
      <w:tr w:rsidR="00A00207" w:rsidRPr="00EC23BB" w:rsidTr="00022E69">
        <w:trPr>
          <w:gridAfter w:val="1"/>
          <w:wAfter w:w="2109" w:type="dxa"/>
          <w:trHeight w:val="462"/>
        </w:trPr>
        <w:tc>
          <w:tcPr>
            <w:tcW w:w="708" w:type="dxa"/>
            <w:tcBorders>
              <w:top w:val="nil"/>
              <w:left w:val="single" w:sz="8" w:space="0" w:color="auto"/>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1</w:t>
            </w:r>
          </w:p>
        </w:tc>
        <w:tc>
          <w:tcPr>
            <w:tcW w:w="1843"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Arroz Grado 2</w:t>
            </w:r>
          </w:p>
        </w:tc>
        <w:tc>
          <w:tcPr>
            <w:tcW w:w="1134"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Saco x 50 Kg.</w:t>
            </w:r>
          </w:p>
        </w:tc>
        <w:tc>
          <w:tcPr>
            <w:tcW w:w="857"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190</w:t>
            </w:r>
          </w:p>
        </w:tc>
        <w:tc>
          <w:tcPr>
            <w:tcW w:w="844"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99.00</w:t>
            </w:r>
          </w:p>
        </w:tc>
        <w:tc>
          <w:tcPr>
            <w:tcW w:w="992"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18,810.00</w:t>
            </w:r>
          </w:p>
        </w:tc>
      </w:tr>
      <w:tr w:rsidR="00A00207" w:rsidRPr="00EC23BB" w:rsidTr="00022E69">
        <w:trPr>
          <w:gridAfter w:val="1"/>
          <w:wAfter w:w="2109" w:type="dxa"/>
          <w:trHeight w:val="358"/>
        </w:trPr>
        <w:tc>
          <w:tcPr>
            <w:tcW w:w="708" w:type="dxa"/>
            <w:tcBorders>
              <w:top w:val="nil"/>
              <w:left w:val="single" w:sz="8" w:space="0" w:color="auto"/>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2</w:t>
            </w:r>
          </w:p>
        </w:tc>
        <w:tc>
          <w:tcPr>
            <w:tcW w:w="1843"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Fríjol Bayo Grado 2</w:t>
            </w:r>
          </w:p>
        </w:tc>
        <w:tc>
          <w:tcPr>
            <w:tcW w:w="1134"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Kilo</w:t>
            </w:r>
          </w:p>
        </w:tc>
        <w:tc>
          <w:tcPr>
            <w:tcW w:w="857"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234</w:t>
            </w:r>
          </w:p>
        </w:tc>
        <w:tc>
          <w:tcPr>
            <w:tcW w:w="844"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3.10</w:t>
            </w:r>
          </w:p>
        </w:tc>
        <w:tc>
          <w:tcPr>
            <w:tcW w:w="992"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725.40</w:t>
            </w:r>
          </w:p>
        </w:tc>
      </w:tr>
      <w:tr w:rsidR="00A00207" w:rsidRPr="00EC23BB" w:rsidTr="00022E69">
        <w:trPr>
          <w:gridAfter w:val="1"/>
          <w:wAfter w:w="2109" w:type="dxa"/>
          <w:trHeight w:val="387"/>
        </w:trPr>
        <w:tc>
          <w:tcPr>
            <w:tcW w:w="708" w:type="dxa"/>
            <w:tcBorders>
              <w:top w:val="nil"/>
              <w:left w:val="single" w:sz="8" w:space="0" w:color="auto"/>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3</w:t>
            </w:r>
          </w:p>
        </w:tc>
        <w:tc>
          <w:tcPr>
            <w:tcW w:w="1843"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Azúcar Rubia</w:t>
            </w:r>
          </w:p>
        </w:tc>
        <w:tc>
          <w:tcPr>
            <w:tcW w:w="1134"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Bolsa x 50 kg</w:t>
            </w:r>
          </w:p>
        </w:tc>
        <w:tc>
          <w:tcPr>
            <w:tcW w:w="857"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86</w:t>
            </w:r>
          </w:p>
        </w:tc>
        <w:tc>
          <w:tcPr>
            <w:tcW w:w="844"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89.50</w:t>
            </w:r>
          </w:p>
        </w:tc>
        <w:tc>
          <w:tcPr>
            <w:tcW w:w="992" w:type="dxa"/>
            <w:tcBorders>
              <w:top w:val="nil"/>
              <w:left w:val="nil"/>
              <w:bottom w:val="single" w:sz="8" w:space="0" w:color="auto"/>
              <w:right w:val="single" w:sz="8" w:space="0" w:color="auto"/>
            </w:tcBorders>
            <w:vAlign w:val="center"/>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7,697.00</w:t>
            </w:r>
          </w:p>
        </w:tc>
      </w:tr>
      <w:tr w:rsidR="00A00207" w:rsidRPr="00EC23BB" w:rsidTr="00022E69">
        <w:trPr>
          <w:gridAfter w:val="1"/>
          <w:wAfter w:w="2109" w:type="dxa"/>
          <w:trHeight w:val="344"/>
        </w:trPr>
        <w:tc>
          <w:tcPr>
            <w:tcW w:w="708" w:type="dxa"/>
            <w:tcBorders>
              <w:top w:val="nil"/>
              <w:left w:val="single" w:sz="8" w:space="0" w:color="auto"/>
              <w:bottom w:val="nil"/>
              <w:right w:val="single" w:sz="8" w:space="0" w:color="auto"/>
            </w:tcBorders>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4</w:t>
            </w:r>
          </w:p>
        </w:tc>
        <w:tc>
          <w:tcPr>
            <w:tcW w:w="1843" w:type="dxa"/>
            <w:tcBorders>
              <w:top w:val="nil"/>
              <w:left w:val="nil"/>
              <w:bottom w:val="nil"/>
              <w:right w:val="single" w:sz="8" w:space="0" w:color="auto"/>
            </w:tcBorders>
          </w:tcPr>
          <w:p w:rsidR="00A00207" w:rsidRPr="00EC23BB" w:rsidRDefault="00A00207" w:rsidP="000A3341">
            <w:pPr>
              <w:spacing w:line="240" w:lineRule="auto"/>
              <w:rPr>
                <w:rFonts w:ascii="Tahoma" w:hAnsi="Tahoma" w:cs="Tahoma"/>
                <w:sz w:val="16"/>
                <w:szCs w:val="16"/>
              </w:rPr>
            </w:pPr>
            <w:r w:rsidRPr="00EC23BB">
              <w:rPr>
                <w:rFonts w:ascii="Tahoma" w:hAnsi="Tahoma" w:cs="Tahoma"/>
                <w:sz w:val="16"/>
                <w:szCs w:val="16"/>
              </w:rPr>
              <w:t xml:space="preserve">Aceite 100% Vegetal </w:t>
            </w:r>
          </w:p>
        </w:tc>
        <w:tc>
          <w:tcPr>
            <w:tcW w:w="1134" w:type="dxa"/>
            <w:tcBorders>
              <w:top w:val="nil"/>
              <w:left w:val="nil"/>
              <w:bottom w:val="nil"/>
              <w:right w:val="single" w:sz="8" w:space="0" w:color="auto"/>
            </w:tcBorders>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Litro</w:t>
            </w:r>
          </w:p>
        </w:tc>
        <w:tc>
          <w:tcPr>
            <w:tcW w:w="857" w:type="dxa"/>
            <w:tcBorders>
              <w:top w:val="nil"/>
              <w:left w:val="nil"/>
              <w:bottom w:val="nil"/>
              <w:right w:val="single" w:sz="8" w:space="0" w:color="auto"/>
            </w:tcBorders>
          </w:tcPr>
          <w:p w:rsidR="00A00207" w:rsidRPr="00EC23BB" w:rsidRDefault="00A00207" w:rsidP="000A3341">
            <w:pPr>
              <w:spacing w:line="240" w:lineRule="auto"/>
              <w:jc w:val="center"/>
              <w:rPr>
                <w:rFonts w:ascii="Tahoma" w:hAnsi="Tahoma" w:cs="Tahoma"/>
                <w:sz w:val="16"/>
                <w:szCs w:val="16"/>
              </w:rPr>
            </w:pPr>
            <w:r w:rsidRPr="00EC23BB">
              <w:rPr>
                <w:rFonts w:ascii="Tahoma" w:hAnsi="Tahoma" w:cs="Tahoma"/>
                <w:sz w:val="16"/>
                <w:szCs w:val="16"/>
              </w:rPr>
              <w:t>495</w:t>
            </w:r>
          </w:p>
        </w:tc>
        <w:tc>
          <w:tcPr>
            <w:tcW w:w="844" w:type="dxa"/>
            <w:tcBorders>
              <w:top w:val="nil"/>
              <w:left w:val="nil"/>
              <w:bottom w:val="nil"/>
              <w:right w:val="single" w:sz="8" w:space="0" w:color="auto"/>
            </w:tcBorders>
          </w:tcPr>
          <w:p w:rsidR="00A00207" w:rsidRPr="00EC23BB" w:rsidRDefault="00A00207" w:rsidP="000A3341">
            <w:pPr>
              <w:spacing w:line="240" w:lineRule="auto"/>
              <w:jc w:val="right"/>
              <w:rPr>
                <w:rFonts w:ascii="Tahoma" w:hAnsi="Tahoma" w:cs="Tahoma"/>
                <w:sz w:val="16"/>
                <w:szCs w:val="16"/>
              </w:rPr>
            </w:pPr>
            <w:r w:rsidRPr="00EC23BB">
              <w:rPr>
                <w:rFonts w:ascii="Tahoma" w:hAnsi="Tahoma" w:cs="Tahoma"/>
                <w:sz w:val="16"/>
                <w:szCs w:val="16"/>
              </w:rPr>
              <w:t xml:space="preserve">                4.80 </w:t>
            </w:r>
          </w:p>
        </w:tc>
        <w:tc>
          <w:tcPr>
            <w:tcW w:w="992" w:type="dxa"/>
            <w:tcBorders>
              <w:top w:val="nil"/>
              <w:left w:val="nil"/>
              <w:bottom w:val="single" w:sz="8" w:space="0" w:color="auto"/>
              <w:right w:val="single" w:sz="8" w:space="0" w:color="auto"/>
            </w:tcBorders>
          </w:tcPr>
          <w:p w:rsidR="00A00207" w:rsidRPr="00EC23BB" w:rsidRDefault="00A00207" w:rsidP="000A3341">
            <w:pPr>
              <w:spacing w:line="240" w:lineRule="auto"/>
              <w:jc w:val="right"/>
              <w:rPr>
                <w:rFonts w:ascii="Tahoma" w:hAnsi="Tahoma" w:cs="Tahoma"/>
                <w:sz w:val="16"/>
                <w:szCs w:val="16"/>
              </w:rPr>
            </w:pPr>
            <w:r w:rsidRPr="00EC23BB">
              <w:rPr>
                <w:rFonts w:ascii="Tahoma" w:hAnsi="Tahoma" w:cs="Tahoma"/>
                <w:sz w:val="16"/>
                <w:szCs w:val="16"/>
              </w:rPr>
              <w:t xml:space="preserve">        2,376.00 </w:t>
            </w:r>
          </w:p>
        </w:tc>
      </w:tr>
      <w:tr w:rsidR="00A00207" w:rsidRPr="00EC23BB" w:rsidTr="00CD0AC9">
        <w:trPr>
          <w:trHeight w:val="198"/>
        </w:trPr>
        <w:tc>
          <w:tcPr>
            <w:tcW w:w="5386" w:type="dxa"/>
            <w:gridSpan w:val="5"/>
            <w:tcBorders>
              <w:top w:val="single" w:sz="8" w:space="0" w:color="auto"/>
              <w:left w:val="single" w:sz="8" w:space="0" w:color="auto"/>
              <w:bottom w:val="single" w:sz="8" w:space="0" w:color="auto"/>
              <w:right w:val="single" w:sz="8" w:space="0" w:color="000000"/>
            </w:tcBorders>
          </w:tcPr>
          <w:p w:rsidR="00A00207" w:rsidRPr="00EC23BB" w:rsidRDefault="00A00207" w:rsidP="000A3341">
            <w:pPr>
              <w:spacing w:line="240" w:lineRule="auto"/>
              <w:jc w:val="center"/>
              <w:rPr>
                <w:rFonts w:ascii="Tahoma" w:hAnsi="Tahoma" w:cs="Tahoma"/>
                <w:b/>
                <w:bCs/>
                <w:sz w:val="16"/>
                <w:szCs w:val="16"/>
              </w:rPr>
            </w:pPr>
            <w:r w:rsidRPr="00EC23BB">
              <w:rPr>
                <w:rFonts w:ascii="Tahoma" w:hAnsi="Tahoma" w:cs="Tahoma"/>
                <w:b/>
                <w:bCs/>
                <w:sz w:val="16"/>
                <w:szCs w:val="16"/>
              </w:rPr>
              <w:t>Total</w:t>
            </w:r>
          </w:p>
        </w:tc>
        <w:tc>
          <w:tcPr>
            <w:tcW w:w="992" w:type="dxa"/>
            <w:tcBorders>
              <w:top w:val="nil"/>
              <w:left w:val="nil"/>
              <w:bottom w:val="single" w:sz="8" w:space="0" w:color="auto"/>
              <w:right w:val="single" w:sz="8" w:space="0" w:color="auto"/>
            </w:tcBorders>
          </w:tcPr>
          <w:p w:rsidR="00A00207" w:rsidRPr="00EC23BB" w:rsidRDefault="00A00207" w:rsidP="000A3341">
            <w:pPr>
              <w:spacing w:line="240" w:lineRule="auto"/>
              <w:jc w:val="right"/>
              <w:rPr>
                <w:rFonts w:ascii="Tahoma" w:hAnsi="Tahoma" w:cs="Tahoma"/>
                <w:b/>
                <w:bCs/>
                <w:sz w:val="16"/>
                <w:szCs w:val="16"/>
              </w:rPr>
            </w:pPr>
            <w:r w:rsidRPr="00EC23BB">
              <w:rPr>
                <w:rFonts w:ascii="Tahoma" w:hAnsi="Tahoma" w:cs="Tahoma"/>
                <w:b/>
                <w:bCs/>
                <w:sz w:val="16"/>
                <w:szCs w:val="16"/>
              </w:rPr>
              <w:t xml:space="preserve">     29,608.40 </w:t>
            </w:r>
          </w:p>
        </w:tc>
        <w:tc>
          <w:tcPr>
            <w:tcW w:w="2109" w:type="dxa"/>
            <w:tcBorders>
              <w:top w:val="nil"/>
              <w:left w:val="nil"/>
              <w:bottom w:val="nil"/>
              <w:right w:val="nil"/>
            </w:tcBorders>
          </w:tcPr>
          <w:p w:rsidR="00A00207" w:rsidRPr="00EC23BB" w:rsidRDefault="00A00207" w:rsidP="000A3341">
            <w:pPr>
              <w:spacing w:line="240" w:lineRule="auto"/>
              <w:jc w:val="center"/>
              <w:rPr>
                <w:rFonts w:ascii="Tahoma" w:hAnsi="Tahoma" w:cs="Tahoma"/>
                <w:sz w:val="20"/>
                <w:szCs w:val="20"/>
              </w:rPr>
            </w:pPr>
          </w:p>
        </w:tc>
      </w:tr>
    </w:tbl>
    <w:p w:rsidR="00A00207" w:rsidRPr="00EC23BB" w:rsidRDefault="00A00207" w:rsidP="000A3341">
      <w:pPr>
        <w:spacing w:line="240" w:lineRule="auto"/>
        <w:rPr>
          <w:rFonts w:ascii="Tahoma" w:hAnsi="Tahoma" w:cs="Tahoma"/>
          <w:sz w:val="20"/>
          <w:szCs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lastRenderedPageBreak/>
        <w:t xml:space="preserve">El 28 de diciembre de 2007, se llevó a cabo el otorgamiento de la buena de la totalidad de los ítems a favor de la firma VILATO del Sr. Abel </w:t>
      </w:r>
      <w:r w:rsidR="00973730" w:rsidRPr="00EC23BB">
        <w:rPr>
          <w:rFonts w:ascii="Tahoma" w:hAnsi="Tahoma" w:cs="Tahoma"/>
          <w:sz w:val="20"/>
          <w:szCs w:val="20"/>
        </w:rPr>
        <w:t xml:space="preserve">Félix </w:t>
      </w:r>
      <w:r w:rsidRPr="00EC23BB">
        <w:rPr>
          <w:rFonts w:ascii="Tahoma" w:hAnsi="Tahoma" w:cs="Tahoma"/>
          <w:sz w:val="20"/>
          <w:szCs w:val="20"/>
        </w:rPr>
        <w:t>Vilcherrez Macalupu, en adelante el Contratista.</w:t>
      </w:r>
    </w:p>
    <w:p w:rsid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Mediante Carta Nº 001-2008/AD-C-J.MG.P-PJ de fecha 13 de mayo de 2008 y notificado el 15 del mismo mes y año, la Entidad le requirió al Contratista la entrega de los bienes correspondientes a los meses febrero, marzo y abril.</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Con Informe Nº 006-2008-AD-CJ-M-GP-P-PJ de fecha 23 de mayo de 2008, el Administrador del centro juvenil Miguel Grau De Piura, le indicó al Director de dicho centro que el Contratista no ha cumplido con las entregas correspondientes a los meses de febrero, marzo y abril de 2008, y que mediante conversaciones telefónicas, el Contratista le indicó que solicitaría la resolución del Contrato.</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Con Carta Nº 049-2008/D-C.J.MGP-PJ de fecha 24 de mayo de 2008, la Entidad requirió al Contratista para que en el plazo de 05 días cumpla con suministrar los bienes correspondientes a los meses febrero, marzo y abril, bajo apercibimiento de resolver el contrato.</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 xml:space="preserve">Mediante Carta Notarial de fecha 26 de mayo de 2008, notificado por conducto notarial en la misma fecha, el contratista solicitó a la Entidad dar liquidado la relación contractual </w:t>
      </w:r>
    </w:p>
    <w:p w:rsidR="00A00207" w:rsidRPr="00EC23BB" w:rsidRDefault="00A00207" w:rsidP="000A3341">
      <w:pPr>
        <w:pStyle w:val="Prrafodelista"/>
        <w:rPr>
          <w:rFonts w:ascii="Tahoma" w:hAnsi="Tahoma" w:cs="Tahoma"/>
          <w:sz w:val="20"/>
        </w:rPr>
      </w:pPr>
    </w:p>
    <w:p w:rsidR="00A00207" w:rsidRPr="00EC23BB" w:rsidRDefault="00A00207" w:rsidP="000A3341">
      <w:pPr>
        <w:pStyle w:val="Prrafodelista"/>
        <w:widowControl/>
        <w:numPr>
          <w:ilvl w:val="0"/>
          <w:numId w:val="9"/>
        </w:numPr>
        <w:suppressAutoHyphens w:val="0"/>
        <w:jc w:val="both"/>
        <w:rPr>
          <w:rFonts w:ascii="Tahoma" w:hAnsi="Tahoma" w:cs="Tahoma"/>
          <w:sz w:val="20"/>
        </w:rPr>
      </w:pPr>
      <w:r w:rsidRPr="00EC23BB">
        <w:rPr>
          <w:rFonts w:ascii="Tahoma" w:hAnsi="Tahoma" w:cs="Tahoma"/>
          <w:sz w:val="20"/>
        </w:rPr>
        <w:t>La orden de Compra Nº 182 de fecha 14 de febrero de 2008 se recibió el 25 de marzo de 2008, es decir después de 40 días de  fecha de emisión, habiéndose remitido a la Gerencia del Poder Judicial  para sus pagos  en esta fecha, el que fue abonado a la cuenta del contratista el 08 de mayo de 2008, es decir, después de 45 días.</w:t>
      </w:r>
    </w:p>
    <w:p w:rsidR="00A00207" w:rsidRPr="00EC23BB" w:rsidRDefault="00A00207" w:rsidP="000A3341">
      <w:pPr>
        <w:pStyle w:val="Prrafodelista"/>
        <w:widowControl/>
        <w:numPr>
          <w:ilvl w:val="0"/>
          <w:numId w:val="9"/>
        </w:numPr>
        <w:suppressAutoHyphens w:val="0"/>
        <w:jc w:val="both"/>
        <w:rPr>
          <w:rFonts w:ascii="Tahoma" w:hAnsi="Tahoma" w:cs="Tahoma"/>
          <w:sz w:val="20"/>
        </w:rPr>
      </w:pPr>
      <w:r w:rsidRPr="00EC23BB">
        <w:rPr>
          <w:rFonts w:ascii="Tahoma" w:hAnsi="Tahoma" w:cs="Tahoma"/>
          <w:sz w:val="20"/>
        </w:rPr>
        <w:t>Se tuvo acceso a las Órdenes de Compra Nº 382 y 457 de fecha 14 de marzo y  01 de abril de 2008, por solicitud del contratista, habiendo sido remitidas vía fax, el 24 de abril de 2008, con un retraso de 40 días, por lo que se emitió las facturas correspondientes, las mismas que no han sido remitidas porque existen faltantes en las entregas correspondientes a los meses de febrero, marzo y abril, sin embargo, se ha suministrado los bienes de manera continua sin ningún documento previo de entrega, lo que origina que hayan sobrantes y faltantes, razón por la que si no se hace referencia a lo entregado respecto al aceite, es porque en el mes se ha entregado una mayor cantidad, todo debía a que no se contó a tiempo con las órdenes de compra correspondientes.</w:t>
      </w:r>
    </w:p>
    <w:p w:rsidR="00A00207" w:rsidRPr="00EC23BB" w:rsidRDefault="00A00207" w:rsidP="000A3341">
      <w:pPr>
        <w:pStyle w:val="Prrafodelista"/>
        <w:widowControl/>
        <w:numPr>
          <w:ilvl w:val="0"/>
          <w:numId w:val="9"/>
        </w:numPr>
        <w:suppressAutoHyphens w:val="0"/>
        <w:jc w:val="both"/>
        <w:rPr>
          <w:rFonts w:ascii="Tahoma" w:hAnsi="Tahoma" w:cs="Tahoma"/>
          <w:sz w:val="20"/>
        </w:rPr>
      </w:pPr>
      <w:r w:rsidRPr="00EC23BB">
        <w:rPr>
          <w:rFonts w:ascii="Tahoma" w:hAnsi="Tahoma" w:cs="Tahoma"/>
          <w:sz w:val="20"/>
        </w:rPr>
        <w:t>No se tenía conocimiento del monto y cantidad suministrar para el mes de mayo.</w:t>
      </w:r>
    </w:p>
    <w:p w:rsidR="00A00207" w:rsidRPr="00EC23BB" w:rsidRDefault="00A00207" w:rsidP="000A3341">
      <w:pPr>
        <w:pStyle w:val="Prrafodelista"/>
        <w:widowControl/>
        <w:numPr>
          <w:ilvl w:val="0"/>
          <w:numId w:val="9"/>
        </w:numPr>
        <w:suppressAutoHyphens w:val="0"/>
        <w:jc w:val="both"/>
        <w:rPr>
          <w:rFonts w:ascii="Tahoma" w:hAnsi="Tahoma" w:cs="Tahoma"/>
          <w:sz w:val="20"/>
        </w:rPr>
      </w:pPr>
      <w:r w:rsidRPr="00EC23BB">
        <w:rPr>
          <w:rFonts w:ascii="Tahoma" w:hAnsi="Tahoma" w:cs="Tahoma"/>
          <w:sz w:val="20"/>
        </w:rPr>
        <w:t xml:space="preserve"> A la fecha, se ha suministrado alimentos desde febrero a abril por un monto ascendente a S/.  5,888.40 Nuevos Soles, adicional a lo entregado en el mes de mayo por S/. 1,256.02 Nuevos Soles, sin considerar las cantidades de aceite entregadas en exceso en los meses de enero a mayo, habiéndose cancelado solo el monto de S/. 2, 806.00 Nuevos Soles, existiendo un saldo a favor del contratista por S/. 4,338.42 nuevos Soles.</w:t>
      </w:r>
    </w:p>
    <w:p w:rsidR="00A00207" w:rsidRPr="00EC23BB" w:rsidRDefault="00A00207" w:rsidP="000A3341">
      <w:pPr>
        <w:pStyle w:val="Prrafodelista"/>
        <w:widowControl/>
        <w:numPr>
          <w:ilvl w:val="0"/>
          <w:numId w:val="9"/>
        </w:numPr>
        <w:suppressAutoHyphens w:val="0"/>
        <w:jc w:val="both"/>
        <w:rPr>
          <w:rFonts w:ascii="Tahoma" w:hAnsi="Tahoma" w:cs="Tahoma"/>
          <w:sz w:val="20"/>
        </w:rPr>
      </w:pPr>
      <w:r w:rsidRPr="00EC23BB">
        <w:rPr>
          <w:rFonts w:ascii="Tahoma" w:hAnsi="Tahoma" w:cs="Tahoma"/>
          <w:sz w:val="20"/>
        </w:rPr>
        <w:t>Adicionalmente, se adeuda el monto de S/. 1,906.00 nuevos soles por la atención de productos de arroz y azúcar, suministrado entre los meses de noviembre y diciembre  de 2007.</w:t>
      </w:r>
    </w:p>
    <w:p w:rsidR="00A00207" w:rsidRPr="00EC23BB" w:rsidRDefault="00A00207" w:rsidP="000A3341">
      <w:pPr>
        <w:pStyle w:val="Prrafodelista"/>
        <w:widowControl/>
        <w:numPr>
          <w:ilvl w:val="0"/>
          <w:numId w:val="9"/>
        </w:numPr>
        <w:suppressAutoHyphens w:val="0"/>
        <w:jc w:val="both"/>
        <w:rPr>
          <w:rFonts w:ascii="Tahoma" w:hAnsi="Tahoma" w:cs="Tahoma"/>
          <w:sz w:val="20"/>
        </w:rPr>
      </w:pPr>
      <w:r w:rsidRPr="00EC23BB">
        <w:rPr>
          <w:rFonts w:ascii="Tahoma" w:hAnsi="Tahoma" w:cs="Tahoma"/>
          <w:sz w:val="20"/>
        </w:rPr>
        <w:t>Al no existir una disposición de conciliación, resulta desfavorable la ejecución de dicho servicio, tomando en cuenta el incremento de precios que existen actualmente.</w:t>
      </w:r>
    </w:p>
    <w:p w:rsidR="00A00207" w:rsidRPr="00EC23BB" w:rsidRDefault="00A00207" w:rsidP="000A3341">
      <w:pPr>
        <w:pStyle w:val="Prrafodelista"/>
        <w:widowControl/>
        <w:numPr>
          <w:ilvl w:val="0"/>
          <w:numId w:val="9"/>
        </w:numPr>
        <w:suppressAutoHyphens w:val="0"/>
        <w:jc w:val="both"/>
        <w:rPr>
          <w:rFonts w:ascii="Tahoma" w:hAnsi="Tahoma" w:cs="Tahoma"/>
          <w:sz w:val="20"/>
        </w:rPr>
      </w:pPr>
      <w:r w:rsidRPr="00EC23BB">
        <w:rPr>
          <w:rFonts w:ascii="Tahoma" w:hAnsi="Tahoma" w:cs="Tahoma"/>
          <w:sz w:val="20"/>
        </w:rPr>
        <w:lastRenderedPageBreak/>
        <w:t>Solicitó la liquidación por ambas partes luego de conciliar lo entregado, y lo solicitado con órdenes de compra de febrero a abril.</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Con Carta Nº 046/2008-AVM de fecha 30 de mayo de 2008 y recibido el 03 de junio de del mismo año, el Contratista solicitó la Entidad lo siguiente:</w:t>
      </w:r>
    </w:p>
    <w:p w:rsidR="00A00207" w:rsidRPr="00EC23BB" w:rsidRDefault="00A00207" w:rsidP="000A3341">
      <w:pPr>
        <w:pStyle w:val="Prrafodelista"/>
        <w:rPr>
          <w:rFonts w:ascii="Tahoma" w:hAnsi="Tahoma" w:cs="Tahoma"/>
          <w:sz w:val="20"/>
        </w:rPr>
      </w:pPr>
    </w:p>
    <w:p w:rsidR="00A00207" w:rsidRPr="00EC23BB" w:rsidRDefault="00A00207" w:rsidP="000A3341">
      <w:pPr>
        <w:pStyle w:val="Prrafodelista"/>
        <w:widowControl/>
        <w:numPr>
          <w:ilvl w:val="0"/>
          <w:numId w:val="7"/>
        </w:numPr>
        <w:suppressAutoHyphens w:val="0"/>
        <w:jc w:val="both"/>
        <w:rPr>
          <w:rFonts w:ascii="Tahoma" w:hAnsi="Tahoma" w:cs="Tahoma"/>
          <w:sz w:val="20"/>
        </w:rPr>
      </w:pPr>
      <w:r w:rsidRPr="00EC23BB">
        <w:rPr>
          <w:rFonts w:ascii="Tahoma" w:hAnsi="Tahoma" w:cs="Tahoma"/>
          <w:sz w:val="20"/>
        </w:rPr>
        <w:t>Que se le reconozca la deuda ascendente a S/. 1, 906.00 Nuevos Soles.</w:t>
      </w:r>
    </w:p>
    <w:p w:rsidR="00A00207" w:rsidRPr="00EC23BB" w:rsidRDefault="00A00207" w:rsidP="000A3341">
      <w:pPr>
        <w:pStyle w:val="Prrafodelista"/>
        <w:widowControl/>
        <w:numPr>
          <w:ilvl w:val="0"/>
          <w:numId w:val="7"/>
        </w:numPr>
        <w:suppressAutoHyphens w:val="0"/>
        <w:jc w:val="both"/>
        <w:rPr>
          <w:rFonts w:ascii="Tahoma" w:hAnsi="Tahoma" w:cs="Tahoma"/>
          <w:sz w:val="20"/>
        </w:rPr>
      </w:pPr>
      <w:r w:rsidRPr="00EC23BB">
        <w:rPr>
          <w:rFonts w:ascii="Tahoma" w:hAnsi="Tahoma" w:cs="Tahoma"/>
          <w:sz w:val="20"/>
        </w:rPr>
        <w:t>Se remita dentro de los primeros días de cada mes o de ser posible con calendario del mes anterior  los requerimientos que originan la remisión de la correspondiente orden de compra.</w:t>
      </w:r>
    </w:p>
    <w:p w:rsidR="00A00207" w:rsidRPr="00EC23BB" w:rsidRDefault="00A00207" w:rsidP="000A3341">
      <w:pPr>
        <w:pStyle w:val="Prrafodelista"/>
        <w:widowControl/>
        <w:numPr>
          <w:ilvl w:val="0"/>
          <w:numId w:val="7"/>
        </w:numPr>
        <w:suppressAutoHyphens w:val="0"/>
        <w:jc w:val="both"/>
        <w:rPr>
          <w:rFonts w:ascii="Tahoma" w:hAnsi="Tahoma" w:cs="Tahoma"/>
          <w:sz w:val="20"/>
        </w:rPr>
      </w:pPr>
      <w:r w:rsidRPr="00EC23BB">
        <w:rPr>
          <w:rFonts w:ascii="Tahoma" w:hAnsi="Tahoma" w:cs="Tahoma"/>
          <w:sz w:val="20"/>
        </w:rPr>
        <w:t>Se comprometía a entregar el faltante de mercadería que se adeudaba entre los meses de febrero a abril y con respecto al sobrante del aceite de los meses de febrero a abril, serán considerados como entregas del mes de mayo.</w:t>
      </w:r>
    </w:p>
    <w:p w:rsidR="00A00207" w:rsidRPr="00EC23BB" w:rsidRDefault="00A00207" w:rsidP="000A3341">
      <w:pPr>
        <w:pStyle w:val="Prrafodelista"/>
        <w:widowControl/>
        <w:numPr>
          <w:ilvl w:val="0"/>
          <w:numId w:val="7"/>
        </w:numPr>
        <w:suppressAutoHyphens w:val="0"/>
        <w:jc w:val="both"/>
        <w:rPr>
          <w:rFonts w:ascii="Tahoma" w:hAnsi="Tahoma" w:cs="Tahoma"/>
          <w:sz w:val="20"/>
        </w:rPr>
      </w:pPr>
      <w:r w:rsidRPr="00EC23BB">
        <w:rPr>
          <w:rFonts w:ascii="Tahoma" w:hAnsi="Tahoma" w:cs="Tahoma"/>
          <w:sz w:val="20"/>
        </w:rPr>
        <w:t>Es necesario agilizar la emisión de la Orden de Compra del mes de mayo.</w:t>
      </w:r>
    </w:p>
    <w:p w:rsidR="00497C7C" w:rsidRDefault="00497C7C" w:rsidP="000A3341">
      <w:pPr>
        <w:spacing w:after="0" w:line="240" w:lineRule="auto"/>
        <w:ind w:left="720"/>
        <w:jc w:val="both"/>
        <w:rPr>
          <w:rFonts w:ascii="Tahoma" w:hAnsi="Tahoma" w:cs="Tahoma"/>
          <w:sz w:val="20"/>
          <w:szCs w:val="20"/>
        </w:rPr>
      </w:pPr>
    </w:p>
    <w:p w:rsidR="00D11782"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 xml:space="preserve">Con Informe Nº 008-2008-AD-CJ-M-GP-P-PJ de fecha 04 de junio de 2008, el Administrador del centro juvenil Miguel Grau De Piura, le indicó al Director de dicho centro que el Contratista no ha cumplido con las entregas correspondientes a los meses de febrero, marzo y abril de 2008. </w:t>
      </w:r>
    </w:p>
    <w:p w:rsidR="00D11782" w:rsidRDefault="00D11782" w:rsidP="000A3341">
      <w:pPr>
        <w:spacing w:after="0" w:line="240" w:lineRule="auto"/>
        <w:ind w:left="720"/>
        <w:jc w:val="both"/>
        <w:rPr>
          <w:rFonts w:ascii="Tahoma" w:hAnsi="Tahoma" w:cs="Tahoma"/>
          <w:sz w:val="20"/>
          <w:szCs w:val="20"/>
        </w:rPr>
      </w:pPr>
    </w:p>
    <w:p w:rsidR="00A00207" w:rsidRPr="00D11782" w:rsidRDefault="00A00207" w:rsidP="000A3341">
      <w:pPr>
        <w:spacing w:after="0" w:line="240" w:lineRule="auto"/>
        <w:ind w:left="720"/>
        <w:jc w:val="both"/>
        <w:rPr>
          <w:rFonts w:ascii="Tahoma" w:hAnsi="Tahoma" w:cs="Tahoma"/>
          <w:sz w:val="20"/>
          <w:szCs w:val="20"/>
        </w:rPr>
      </w:pPr>
      <w:r w:rsidRPr="00D11782">
        <w:rPr>
          <w:rFonts w:ascii="Tahoma" w:hAnsi="Tahoma" w:cs="Tahoma"/>
          <w:sz w:val="20"/>
          <w:szCs w:val="20"/>
        </w:rPr>
        <w:t>Asimismo, se indicó que con Carta Nº 01/2008/D-CJMG-P-PJ se le remitió al contratista extemporáneamente las órdenes de compra, motivo por el cual se originó el retraso del envío de las facturas de los meses de marzo y abril.</w:t>
      </w:r>
    </w:p>
    <w:p w:rsidR="00D11782" w:rsidRDefault="00D11782"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Mediante Informe Nº 010-2008-AD-CJ-M-GP-P-PJ de fecha 30 de junio de 2008, el Administrador del centro juvenil Miguel Grau De Piura, le indicó al Director de dicho centro lo siguiente:</w:t>
      </w:r>
    </w:p>
    <w:p w:rsidR="00507A71" w:rsidRDefault="00507A71" w:rsidP="00507A71">
      <w:pPr>
        <w:pStyle w:val="Prrafodelista"/>
        <w:widowControl/>
        <w:suppressAutoHyphens w:val="0"/>
        <w:ind w:left="1440"/>
        <w:jc w:val="both"/>
        <w:rPr>
          <w:rFonts w:ascii="Tahoma" w:hAnsi="Tahoma" w:cs="Tahoma"/>
          <w:sz w:val="20"/>
        </w:rPr>
      </w:pPr>
    </w:p>
    <w:p w:rsidR="00497C7C" w:rsidRDefault="00A00207" w:rsidP="000A3341">
      <w:pPr>
        <w:pStyle w:val="Prrafodelista"/>
        <w:widowControl/>
        <w:numPr>
          <w:ilvl w:val="0"/>
          <w:numId w:val="8"/>
        </w:numPr>
        <w:suppressAutoHyphens w:val="0"/>
        <w:jc w:val="both"/>
        <w:rPr>
          <w:rFonts w:ascii="Tahoma" w:hAnsi="Tahoma" w:cs="Tahoma"/>
          <w:sz w:val="20"/>
        </w:rPr>
      </w:pPr>
      <w:r w:rsidRPr="00EC23BB">
        <w:rPr>
          <w:rFonts w:ascii="Tahoma" w:hAnsi="Tahoma" w:cs="Tahoma"/>
          <w:sz w:val="20"/>
        </w:rPr>
        <w:t>El contratista no ha cumplido con la entrega de los bienes, y al requerirle mediante conversaciones telefónicas, este señaló que no se le había cancelado los meses de abril, mayo y junio.</w:t>
      </w:r>
    </w:p>
    <w:p w:rsidR="00A00207" w:rsidRPr="00497C7C" w:rsidRDefault="00A00207" w:rsidP="000A3341">
      <w:pPr>
        <w:pStyle w:val="Prrafodelista"/>
        <w:widowControl/>
        <w:numPr>
          <w:ilvl w:val="0"/>
          <w:numId w:val="8"/>
        </w:numPr>
        <w:suppressAutoHyphens w:val="0"/>
        <w:jc w:val="both"/>
        <w:rPr>
          <w:rFonts w:ascii="Tahoma" w:hAnsi="Tahoma" w:cs="Tahoma"/>
          <w:sz w:val="20"/>
        </w:rPr>
      </w:pPr>
      <w:r w:rsidRPr="00497C7C">
        <w:rPr>
          <w:rFonts w:ascii="Tahoma" w:hAnsi="Tahoma" w:cs="Tahoma"/>
          <w:sz w:val="20"/>
        </w:rPr>
        <w:t>Por tal motivo, se solicitó que se realice el pago respectivo.</w:t>
      </w:r>
    </w:p>
    <w:p w:rsidR="00497C7C" w:rsidRDefault="00497C7C" w:rsidP="000A3341">
      <w:pPr>
        <w:spacing w:after="0" w:line="240" w:lineRule="auto"/>
        <w:ind w:left="720"/>
        <w:jc w:val="both"/>
        <w:rPr>
          <w:rFonts w:ascii="Tahoma" w:hAnsi="Tahoma" w:cs="Tahoma"/>
          <w:sz w:val="20"/>
          <w:szCs w:val="20"/>
        </w:rPr>
      </w:pPr>
    </w:p>
    <w:p w:rsidR="00497C7C"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Mediante Carta Nº 081-2008/AD-C.J.M. G.P-PJ, de fecha 31 de julio de 2008, la Entidad le comunicó al Contratista el Memorando Nº 1502-2008-GCJ-GG/PJ, en el cual se le indicó que no existía ningún retraso respecto del pago de los meses de abril y mayo.</w:t>
      </w:r>
    </w:p>
    <w:p w:rsidR="00497C7C" w:rsidRDefault="00497C7C" w:rsidP="000A3341">
      <w:pPr>
        <w:spacing w:after="0" w:line="240" w:lineRule="auto"/>
        <w:ind w:left="720"/>
        <w:jc w:val="both"/>
        <w:rPr>
          <w:rFonts w:ascii="Tahoma" w:hAnsi="Tahoma" w:cs="Tahoma"/>
          <w:sz w:val="20"/>
          <w:szCs w:val="20"/>
        </w:rPr>
      </w:pPr>
    </w:p>
    <w:p w:rsidR="00A00207" w:rsidRPr="00497C7C" w:rsidRDefault="00A00207" w:rsidP="000A3341">
      <w:pPr>
        <w:numPr>
          <w:ilvl w:val="0"/>
          <w:numId w:val="5"/>
        </w:numPr>
        <w:spacing w:after="0" w:line="240" w:lineRule="auto"/>
        <w:jc w:val="both"/>
        <w:rPr>
          <w:rFonts w:ascii="Tahoma" w:hAnsi="Tahoma" w:cs="Tahoma"/>
          <w:sz w:val="20"/>
          <w:szCs w:val="20"/>
        </w:rPr>
      </w:pPr>
      <w:r w:rsidRPr="00497C7C">
        <w:rPr>
          <w:rFonts w:ascii="Tahoma" w:hAnsi="Tahoma" w:cs="Tahoma"/>
          <w:sz w:val="20"/>
          <w:szCs w:val="20"/>
        </w:rPr>
        <w:t>Con Carta Nº 086-2008/D.C.J.MG.P-PJ de fecha 06 de agosto de 2008, y notificado el 11 del mismo mes y año, la Entidad le solicitó al Contratista que cumpla con entregar los productos alimenticios faltantes, correspondientes a los meses de abril, mayo, junio y julio.</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Mediante Informe Nº 011-2008-AD-CJ-M-G-P-PJ de fecha 18 de agosto de 2008, el Director  del Centro juvenil Miguel Grau De Piura, le indicó al Gerente de Centros Juveniles que el Contratista no viene cumpliendo con la entrega de los productos a los que se obligó.</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Con Carta Nº 0107-2008/ D-C.J.M.G.P-PJ de fecha 29 de agosto de 2008, y notificado por conducto notarial en la misma fecha, la Entidad le otorgó al contratista el plazo de 05 días para que cumpla con la  entrega de los productos alimenticios correspondientes a los meses abril, mayo, junio, julio y agosto, bajo apercibimiento de resolver el contrato.</w:t>
      </w:r>
    </w:p>
    <w:p w:rsid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lastRenderedPageBreak/>
        <w:t>Con Carta Nº 0111-2008/D-C.J.M.G.P-PJ de fecha 08 de setiembre de 2008, y notificado por conducto notarial el 10 del mismo mes y año, la Entidad dispuso resolver el vínculo contractual al no haber cumplido el contratista con sus obligaciones materia del proceso de selección.</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Mediante Memorando Nº 3119-2008-SL-GAF-GG/PJ de fecha 30 de setiembre de 2008, la Sub Gerente de Logística le indicó al Jefe de Asesoría Legal que se venia incumpliendo las obligaciones derivadas de las ordenes de de Compra Nros 900,901, 1194 y 1195.</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Con escrito de fecha 20 de octubre de 2008, la Entidad denunció a este Colegiado que el Contratista ha incumplido injustificadamente prestaciones a su cargo,  derivadas de la Adjudicación de Menor Cuantía por Subasta Inversa Presencial Nº 004-2007-CEP-CJM-GCJ-GG/PJ, lo que ocasionó la resolución de las órdenes de compra Nº 900, 901 1194 y 1195 -2008.</w:t>
      </w:r>
    </w:p>
    <w:p w:rsid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 xml:space="preserve">Por decreto del 23 de octubre de 2008, el Tribunal dispuso el inicio del procedimiento administrativo sancionador al Contratista por su supuesta responsabilidad al </w:t>
      </w:r>
      <w:r w:rsidRPr="00EC23BB">
        <w:rPr>
          <w:rFonts w:ascii="Tahoma" w:hAnsi="Tahoma" w:cs="Tahoma"/>
          <w:color w:val="444444"/>
          <w:sz w:val="20"/>
          <w:szCs w:val="20"/>
        </w:rPr>
        <w:t xml:space="preserve">haber dado lugar a la resolución de las órdenes de compra Nº 900, 901, 1194 y 1195-2008, las cuales fue materia de la </w:t>
      </w:r>
      <w:r w:rsidRPr="00EC23BB">
        <w:rPr>
          <w:rFonts w:ascii="Tahoma" w:hAnsi="Tahoma" w:cs="Tahoma"/>
          <w:b/>
          <w:bCs/>
          <w:color w:val="444444"/>
          <w:sz w:val="20"/>
          <w:szCs w:val="20"/>
        </w:rPr>
        <w:t>Adjudicación de Menor Cuantía por subasta inversa presencial Nº 004-2007-CEP-CJM-GC/PJ</w:t>
      </w:r>
      <w:r w:rsidRPr="00EC23BB">
        <w:rPr>
          <w:rFonts w:ascii="Tahoma" w:hAnsi="Tahoma" w:cs="Tahoma"/>
          <w:color w:val="444444"/>
          <w:sz w:val="20"/>
          <w:szCs w:val="20"/>
        </w:rPr>
        <w:t xml:space="preserve">, proceso de selección convocado por el  </w:t>
      </w:r>
      <w:r w:rsidRPr="00EC23BB">
        <w:rPr>
          <w:rFonts w:ascii="Tahoma" w:hAnsi="Tahoma" w:cs="Tahoma"/>
          <w:b/>
          <w:bCs/>
          <w:color w:val="444444"/>
          <w:sz w:val="20"/>
          <w:szCs w:val="20"/>
        </w:rPr>
        <w:t>PODER JUDICIAL</w:t>
      </w:r>
      <w:r w:rsidRPr="00EC23BB">
        <w:rPr>
          <w:rFonts w:ascii="Tahoma" w:hAnsi="Tahoma" w:cs="Tahoma"/>
          <w:color w:val="444444"/>
          <w:sz w:val="20"/>
          <w:szCs w:val="20"/>
        </w:rPr>
        <w:t xml:space="preserve"> para la “Contratación del suministros de arroz fríjol, azúcar y aceite”.</w:t>
      </w:r>
      <w:r w:rsidRPr="00EC23BB">
        <w:rPr>
          <w:rFonts w:ascii="Tahoma" w:hAnsi="Tahoma" w:cs="Tahoma"/>
          <w:sz w:val="20"/>
          <w:szCs w:val="20"/>
        </w:rPr>
        <w:t>; infracción tipificada en el numeral 2 del artículo 294º del Reglamento de la Ley. Asimismo, se le emplazó para que dentro del plazo de diez (10) días hábiles presente sus descargos, bajo apercibimiento de resolver con la documentación obrante en autos.</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Con  escrito de fecha 15 de diciembre de 2008, el Contratista presentó sus descargos en los siguientes términos:</w:t>
      </w:r>
    </w:p>
    <w:p w:rsidR="00A00207" w:rsidRPr="00EC23BB" w:rsidRDefault="00A00207" w:rsidP="000A3341">
      <w:pPr>
        <w:pStyle w:val="Prrafodelista"/>
        <w:rPr>
          <w:rFonts w:ascii="Tahoma" w:hAnsi="Tahoma" w:cs="Tahoma"/>
          <w:sz w:val="20"/>
        </w:rPr>
      </w:pPr>
    </w:p>
    <w:p w:rsidR="00A00207" w:rsidRPr="00EC23BB" w:rsidRDefault="00A00207" w:rsidP="000A3341">
      <w:pPr>
        <w:pStyle w:val="Prrafodelista"/>
        <w:widowControl/>
        <w:numPr>
          <w:ilvl w:val="0"/>
          <w:numId w:val="6"/>
        </w:numPr>
        <w:suppressAutoHyphens w:val="0"/>
        <w:ind w:left="1843" w:hanging="283"/>
        <w:jc w:val="both"/>
        <w:rPr>
          <w:rFonts w:ascii="Tahoma" w:hAnsi="Tahoma" w:cs="Tahoma"/>
          <w:sz w:val="20"/>
        </w:rPr>
      </w:pPr>
      <w:r w:rsidRPr="00EC23BB">
        <w:rPr>
          <w:rFonts w:ascii="Tahoma" w:hAnsi="Tahoma" w:cs="Tahoma"/>
          <w:sz w:val="20"/>
        </w:rPr>
        <w:t>Solicita no ha lugar a la imposición de sanción imputada, puesto que las cantidades de los bienes entregados eran superiores a los solicitados.</w:t>
      </w:r>
    </w:p>
    <w:p w:rsidR="00A00207" w:rsidRPr="00EC23BB" w:rsidRDefault="00A00207" w:rsidP="000A3341">
      <w:pPr>
        <w:pStyle w:val="Prrafodelista"/>
        <w:widowControl/>
        <w:numPr>
          <w:ilvl w:val="0"/>
          <w:numId w:val="6"/>
        </w:numPr>
        <w:suppressAutoHyphens w:val="0"/>
        <w:ind w:left="1843" w:hanging="283"/>
        <w:jc w:val="both"/>
        <w:rPr>
          <w:rFonts w:ascii="Tahoma" w:hAnsi="Tahoma" w:cs="Tahoma"/>
          <w:sz w:val="20"/>
        </w:rPr>
      </w:pPr>
      <w:r w:rsidRPr="00EC23BB">
        <w:rPr>
          <w:rFonts w:ascii="Tahoma" w:hAnsi="Tahoma" w:cs="Tahoma"/>
          <w:sz w:val="20"/>
        </w:rPr>
        <w:t>Las Órdenes de compra Nº 900,901, 1194 y 1195 cuestionadas nunca fueron entregadas a tiempo, como se demuestra en el contenido de ellas.</w:t>
      </w:r>
    </w:p>
    <w:p w:rsidR="00A00207" w:rsidRPr="00EC23BB" w:rsidRDefault="00A00207" w:rsidP="000A3341">
      <w:pPr>
        <w:pStyle w:val="Prrafodelista"/>
        <w:widowControl/>
        <w:numPr>
          <w:ilvl w:val="0"/>
          <w:numId w:val="6"/>
        </w:numPr>
        <w:suppressAutoHyphens w:val="0"/>
        <w:ind w:left="1843" w:hanging="283"/>
        <w:jc w:val="both"/>
        <w:rPr>
          <w:rFonts w:ascii="Tahoma" w:hAnsi="Tahoma" w:cs="Tahoma"/>
          <w:sz w:val="20"/>
        </w:rPr>
      </w:pPr>
      <w:r w:rsidRPr="00EC23BB">
        <w:rPr>
          <w:rFonts w:ascii="Tahoma" w:hAnsi="Tahoma" w:cs="Tahoma"/>
          <w:sz w:val="20"/>
        </w:rPr>
        <w:t>Las Órdenes de Compra Nº 900 y 901, cuya fecha de emisión es 24 de junio eran para atender las necesidades del mes de junio, sin embargo, recién se les asigna el número de SIAF el 07 de julio.</w:t>
      </w:r>
    </w:p>
    <w:p w:rsidR="00A00207" w:rsidRPr="00EC23BB" w:rsidRDefault="00A00207" w:rsidP="000A3341">
      <w:pPr>
        <w:pStyle w:val="Prrafodelista"/>
        <w:widowControl/>
        <w:numPr>
          <w:ilvl w:val="0"/>
          <w:numId w:val="6"/>
        </w:numPr>
        <w:suppressAutoHyphens w:val="0"/>
        <w:ind w:left="1843" w:hanging="283"/>
        <w:jc w:val="both"/>
        <w:rPr>
          <w:rFonts w:ascii="Tahoma" w:hAnsi="Tahoma" w:cs="Tahoma"/>
          <w:sz w:val="20"/>
        </w:rPr>
      </w:pPr>
      <w:r w:rsidRPr="00EC23BB">
        <w:rPr>
          <w:rFonts w:ascii="Tahoma" w:hAnsi="Tahoma" w:cs="Tahoma"/>
          <w:sz w:val="20"/>
        </w:rPr>
        <w:t>En relación a las órdenes de compra Nº 1194 y 1195, nunca han sido recibidas por el Contratista.</w:t>
      </w:r>
    </w:p>
    <w:p w:rsidR="00A00207" w:rsidRPr="00EC23BB" w:rsidRDefault="00A00207" w:rsidP="000A3341">
      <w:pPr>
        <w:pStyle w:val="Prrafodelista"/>
        <w:widowControl/>
        <w:numPr>
          <w:ilvl w:val="0"/>
          <w:numId w:val="6"/>
        </w:numPr>
        <w:suppressAutoHyphens w:val="0"/>
        <w:ind w:left="1843" w:hanging="283"/>
        <w:jc w:val="both"/>
        <w:rPr>
          <w:rFonts w:ascii="Tahoma" w:hAnsi="Tahoma" w:cs="Tahoma"/>
          <w:sz w:val="20"/>
        </w:rPr>
      </w:pPr>
      <w:r w:rsidRPr="00EC23BB">
        <w:rPr>
          <w:rFonts w:ascii="Tahoma" w:hAnsi="Tahoma" w:cs="Tahoma"/>
          <w:sz w:val="20"/>
        </w:rPr>
        <w:t>Han existido demora en los pagos, inclusive de tres meses. Asimismo, no hubo una buena disposición para conciliar a pesar de haber firmado un documento por parte de la Entidad, el cual no fue cumplido.</w:t>
      </w:r>
    </w:p>
    <w:p w:rsidR="00A00207" w:rsidRPr="00EC23BB" w:rsidRDefault="00A00207" w:rsidP="000A3341">
      <w:pPr>
        <w:pStyle w:val="Prrafodelista"/>
        <w:widowControl/>
        <w:numPr>
          <w:ilvl w:val="0"/>
          <w:numId w:val="6"/>
        </w:numPr>
        <w:suppressAutoHyphens w:val="0"/>
        <w:ind w:left="1843" w:hanging="283"/>
        <w:jc w:val="both"/>
        <w:rPr>
          <w:rFonts w:ascii="Tahoma" w:hAnsi="Tahoma" w:cs="Tahoma"/>
          <w:sz w:val="20"/>
        </w:rPr>
      </w:pPr>
      <w:r w:rsidRPr="00EC23BB">
        <w:rPr>
          <w:rFonts w:ascii="Tahoma" w:hAnsi="Tahoma" w:cs="Tahoma"/>
          <w:sz w:val="20"/>
        </w:rPr>
        <w:t>El PRONAA ha estado donando los productos  requeridos por la Entidad, de esta forma se ha evitado perjuicio al Centro Juvenil.</w:t>
      </w:r>
    </w:p>
    <w:p w:rsidR="00A00207" w:rsidRPr="00EC23BB" w:rsidRDefault="00A00207" w:rsidP="000A3341">
      <w:pPr>
        <w:pStyle w:val="Prrafodelista"/>
        <w:widowControl/>
        <w:numPr>
          <w:ilvl w:val="0"/>
          <w:numId w:val="6"/>
        </w:numPr>
        <w:suppressAutoHyphens w:val="0"/>
        <w:ind w:left="1843" w:hanging="283"/>
        <w:jc w:val="both"/>
        <w:rPr>
          <w:rFonts w:ascii="Tahoma" w:hAnsi="Tahoma" w:cs="Tahoma"/>
          <w:sz w:val="20"/>
        </w:rPr>
      </w:pPr>
      <w:r w:rsidRPr="00EC23BB">
        <w:rPr>
          <w:rFonts w:ascii="Tahoma" w:hAnsi="Tahoma" w:cs="Tahoma"/>
          <w:sz w:val="20"/>
        </w:rPr>
        <w:t>Los productos habían incrementado de precio, no existiendo por parte de la Entidad una disposición en mejorar los precios a pesar de la demora en sus pagos. Sin embargo, esos precio si han podido ser incrementados a solicitud del Centro Juvenil Miguel Grau.</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Con decreto de fecha 19 de diciembre de 2008, se tuvo por apersonado al Contratista y se remitió el expediente a la Tercera Sala del Tribunal para que emita pronunciamiento.</w:t>
      </w:r>
    </w:p>
    <w:p w:rsid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lastRenderedPageBreak/>
        <w:t>Mediante decreto de fecha 03 de setiembre de 2009, en virtud a la Resolución Nº 256-2009-OSCE/PRE  de fecha 07 de julio de 2009, que designa a la Primera Sala del Tribunal como competente para conocer los procedimientos administrativos sancionadores, se dispuso remitir el presente expediente a la referida Sala para que resuelva.</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Con decreto de fecha 31 de mayo de 2010 se solicitó información adicional a la Entidad.</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5"/>
        </w:numPr>
        <w:spacing w:after="0" w:line="240" w:lineRule="auto"/>
        <w:jc w:val="both"/>
        <w:rPr>
          <w:rFonts w:ascii="Tahoma" w:hAnsi="Tahoma" w:cs="Tahoma"/>
          <w:sz w:val="20"/>
          <w:szCs w:val="20"/>
        </w:rPr>
      </w:pPr>
      <w:r w:rsidRPr="00EC23BB">
        <w:rPr>
          <w:rFonts w:ascii="Tahoma" w:hAnsi="Tahoma" w:cs="Tahoma"/>
          <w:sz w:val="20"/>
          <w:szCs w:val="20"/>
        </w:rPr>
        <w:t>Mediante Oficio Nº 178-2010-OAL-GG-PJ de fecha 15 de junio de 2010, la Entidad remitió la información requerida.</w:t>
      </w:r>
    </w:p>
    <w:p w:rsidR="00187C3D" w:rsidRPr="00EC23BB" w:rsidRDefault="00187C3D" w:rsidP="000A3341">
      <w:pPr>
        <w:pStyle w:val="NormalWeb"/>
        <w:tabs>
          <w:tab w:val="num" w:pos="900"/>
        </w:tabs>
        <w:spacing w:before="0" w:beforeAutospacing="0" w:after="0" w:afterAutospacing="0"/>
        <w:jc w:val="both"/>
        <w:rPr>
          <w:rFonts w:ascii="Tahoma" w:hAnsi="Tahoma" w:cs="Tahoma"/>
          <w:sz w:val="20"/>
          <w:szCs w:val="20"/>
          <w:highlight w:val="yellow"/>
        </w:rPr>
      </w:pPr>
    </w:p>
    <w:p w:rsidR="00187C3D" w:rsidRPr="00EC23BB" w:rsidRDefault="00187C3D" w:rsidP="000A3341">
      <w:pPr>
        <w:tabs>
          <w:tab w:val="num" w:pos="9720"/>
        </w:tabs>
        <w:spacing w:after="0" w:line="240" w:lineRule="auto"/>
        <w:jc w:val="both"/>
        <w:rPr>
          <w:rFonts w:ascii="Tahoma" w:hAnsi="Tahoma" w:cs="Tahoma"/>
          <w:b/>
          <w:sz w:val="20"/>
          <w:szCs w:val="20"/>
        </w:rPr>
      </w:pPr>
      <w:r w:rsidRPr="00EC23BB">
        <w:rPr>
          <w:rFonts w:ascii="Tahoma" w:hAnsi="Tahoma" w:cs="Tahoma"/>
          <w:b/>
          <w:sz w:val="20"/>
          <w:szCs w:val="20"/>
        </w:rPr>
        <w:t>FUNDAMENTACIÓN:</w:t>
      </w:r>
    </w:p>
    <w:p w:rsidR="00A00207" w:rsidRPr="00EC23BB" w:rsidRDefault="00A00207" w:rsidP="000A3341">
      <w:pPr>
        <w:pStyle w:val="Textoindependiente"/>
        <w:spacing w:line="240" w:lineRule="auto"/>
        <w:rPr>
          <w:rFonts w:ascii="Tahoma" w:hAnsi="Tahoma" w:cs="Tahoma"/>
          <w:b/>
          <w:bCs/>
          <w:sz w:val="20"/>
          <w:szCs w:val="20"/>
          <w:lang w:val="es-MX"/>
        </w:rPr>
      </w:pPr>
    </w:p>
    <w:p w:rsidR="00A00207" w:rsidRPr="00EC23BB" w:rsidRDefault="00A00207" w:rsidP="000A3341">
      <w:pPr>
        <w:spacing w:line="240" w:lineRule="auto"/>
        <w:rPr>
          <w:rFonts w:ascii="Tahoma" w:hAnsi="Tahoma" w:cs="Tahoma"/>
          <w:b/>
          <w:bCs/>
          <w:sz w:val="20"/>
          <w:szCs w:val="20"/>
        </w:rPr>
      </w:pPr>
      <w:r w:rsidRPr="00EC23BB">
        <w:rPr>
          <w:rFonts w:ascii="Tahoma" w:hAnsi="Tahoma" w:cs="Tahoma"/>
          <w:b/>
          <w:bCs/>
          <w:sz w:val="20"/>
          <w:szCs w:val="20"/>
          <w:u w:val="single"/>
        </w:rPr>
        <w:t>De la Competencia del Tribunal de Contrataciones del Estado</w:t>
      </w:r>
    </w:p>
    <w:p w:rsidR="00497C7C"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El numeral 1 del artículo 235 de la Ley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497C7C" w:rsidRDefault="00497C7C" w:rsidP="000A3341">
      <w:pPr>
        <w:spacing w:after="0" w:line="240" w:lineRule="auto"/>
        <w:ind w:left="720"/>
        <w:jc w:val="both"/>
        <w:rPr>
          <w:rFonts w:ascii="Tahoma" w:hAnsi="Tahoma" w:cs="Tahoma"/>
          <w:sz w:val="20"/>
          <w:szCs w:val="20"/>
        </w:rPr>
      </w:pPr>
    </w:p>
    <w:p w:rsidR="00497C7C" w:rsidRDefault="00A00207" w:rsidP="000A3341">
      <w:pPr>
        <w:numPr>
          <w:ilvl w:val="0"/>
          <w:numId w:val="10"/>
        </w:numPr>
        <w:spacing w:after="0" w:line="240" w:lineRule="auto"/>
        <w:jc w:val="both"/>
        <w:rPr>
          <w:rFonts w:ascii="Tahoma" w:hAnsi="Tahoma" w:cs="Tahoma"/>
          <w:sz w:val="20"/>
          <w:szCs w:val="20"/>
        </w:rPr>
      </w:pPr>
      <w:r w:rsidRPr="00497C7C">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y económicas,  a que se contraen el artículo  y 52º de la Ley (Texto Único Ordenado de la Ley de Contrataciones y Adquisiciones del Estado), a los proveedores, participantes, postores, contratistas y entidades, según corresponda, por infracciones a las disposiciones contenidas en la Ley y el presente Reglamento.</w:t>
      </w:r>
    </w:p>
    <w:p w:rsidR="00497C7C" w:rsidRDefault="00497C7C" w:rsidP="000A3341">
      <w:pPr>
        <w:pStyle w:val="Prrafodelista"/>
        <w:rPr>
          <w:rFonts w:ascii="Tahoma" w:hAnsi="Tahoma" w:cs="Tahoma"/>
          <w:b/>
          <w:bCs/>
          <w:sz w:val="20"/>
          <w:u w:val="single"/>
        </w:rPr>
      </w:pPr>
    </w:p>
    <w:p w:rsidR="00A00207" w:rsidRDefault="00A00207" w:rsidP="000A3341">
      <w:pPr>
        <w:spacing w:after="0" w:line="240" w:lineRule="auto"/>
        <w:ind w:left="720"/>
        <w:jc w:val="both"/>
        <w:rPr>
          <w:rFonts w:ascii="Tahoma" w:hAnsi="Tahoma" w:cs="Tahoma"/>
          <w:b/>
          <w:bCs/>
          <w:sz w:val="20"/>
          <w:szCs w:val="20"/>
          <w:u w:val="single"/>
        </w:rPr>
      </w:pPr>
      <w:r w:rsidRPr="00497C7C">
        <w:rPr>
          <w:rFonts w:ascii="Tahoma" w:hAnsi="Tahoma" w:cs="Tahoma"/>
          <w:b/>
          <w:bCs/>
          <w:sz w:val="20"/>
          <w:szCs w:val="20"/>
          <w:u w:val="single"/>
        </w:rPr>
        <w:t xml:space="preserve">Del Procedimiento Sancionador </w:t>
      </w:r>
    </w:p>
    <w:p w:rsidR="00497C7C" w:rsidRP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Es materia del presente procedimiento administrativo la supuesta responsabilidad del Contratista por dar lugar a la resolución de las  Ordenes de Compra  Nros 900, 901, 1194 y 1195-2008, derivadas de la Adjudicación de Menor Cuantía por</w:t>
      </w:r>
      <w:r w:rsidRPr="00EC23BB">
        <w:rPr>
          <w:rFonts w:ascii="Tahoma" w:hAnsi="Tahoma" w:cs="Tahoma"/>
          <w:b/>
          <w:bCs/>
          <w:sz w:val="20"/>
          <w:szCs w:val="20"/>
        </w:rPr>
        <w:t xml:space="preserve"> </w:t>
      </w:r>
      <w:r w:rsidRPr="00EC23BB">
        <w:rPr>
          <w:rFonts w:ascii="Tahoma" w:hAnsi="Tahoma" w:cs="Tahoma"/>
          <w:sz w:val="20"/>
          <w:szCs w:val="20"/>
        </w:rPr>
        <w:t>SUBASTA INVERSA PRESENCIAL Nº 4-2007/-CEP-CJM-GCJ-GG-PJ, para el suministro de arroz, frejol, azúcar y aceite para el centro juvenil Miguel Grau De Piura.</w:t>
      </w:r>
    </w:p>
    <w:p w:rsidR="00A00207" w:rsidRPr="00EC23BB" w:rsidRDefault="00A00207" w:rsidP="000A3341">
      <w:pPr>
        <w:spacing w:line="240" w:lineRule="auto"/>
        <w:ind w:left="360"/>
        <w:rPr>
          <w:rFonts w:ascii="Tahoma" w:hAnsi="Tahoma" w:cs="Tahoma"/>
          <w:sz w:val="20"/>
          <w:szCs w:val="20"/>
          <w:highlight w:val="yellow"/>
        </w:rPr>
      </w:pPr>
    </w:p>
    <w:p w:rsidR="00497C7C"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En ese sentido, considerando el momento de ocurrencia de los hechos materia de la imputación, la determinación de la presente infracción administrativa debe ser analizada de conformidad con el Texto Único Ordenado de la Ley de Contrataciones y Adquisiciones del Estado, y su Reglamento, aprobado por Decretos Supremos Nº 083-2004-PCM y 084-2004-PCM, en lo sucesivo la Ley y el Reglamento, respectivamente, normas aplicables en el tiempo en el que se suscitaron los hechos.</w:t>
      </w:r>
    </w:p>
    <w:p w:rsidR="00497C7C" w:rsidRDefault="00497C7C" w:rsidP="000A3341">
      <w:pPr>
        <w:pStyle w:val="Prrafodelista"/>
        <w:rPr>
          <w:rFonts w:ascii="Tahoma" w:hAnsi="Tahoma" w:cs="Tahoma"/>
          <w:sz w:val="20"/>
        </w:rPr>
      </w:pPr>
    </w:p>
    <w:p w:rsidR="00497C7C" w:rsidRDefault="00A00207" w:rsidP="000A3341">
      <w:pPr>
        <w:spacing w:after="0" w:line="240" w:lineRule="auto"/>
        <w:ind w:left="720"/>
        <w:jc w:val="both"/>
        <w:rPr>
          <w:rFonts w:ascii="Tahoma" w:hAnsi="Tahoma" w:cs="Tahoma"/>
          <w:sz w:val="20"/>
          <w:szCs w:val="20"/>
        </w:rPr>
      </w:pPr>
      <w:r w:rsidRPr="00497C7C">
        <w:rPr>
          <w:rFonts w:ascii="Tahoma" w:hAnsi="Tahoma" w:cs="Tahoma"/>
          <w:sz w:val="20"/>
          <w:szCs w:val="20"/>
        </w:rPr>
        <w:t>Al respecto, la infracción imputada al Contratista corresponde a la señalada en el numeral 2) del artículo 294 del Reglamento.</w:t>
      </w:r>
    </w:p>
    <w:p w:rsidR="00497C7C" w:rsidRDefault="00497C7C" w:rsidP="000A3341">
      <w:pPr>
        <w:spacing w:after="0" w:line="240" w:lineRule="auto"/>
        <w:ind w:left="720"/>
        <w:jc w:val="both"/>
        <w:rPr>
          <w:rFonts w:ascii="Tahoma" w:hAnsi="Tahoma" w:cs="Tahoma"/>
          <w:sz w:val="20"/>
          <w:szCs w:val="20"/>
        </w:rPr>
      </w:pPr>
    </w:p>
    <w:p w:rsidR="00A00207" w:rsidRPr="00497C7C" w:rsidRDefault="00A00207" w:rsidP="000A3341">
      <w:pPr>
        <w:spacing w:after="0" w:line="240" w:lineRule="auto"/>
        <w:ind w:left="720"/>
        <w:jc w:val="both"/>
        <w:rPr>
          <w:rFonts w:ascii="Tahoma" w:hAnsi="Tahoma" w:cs="Tahoma"/>
          <w:sz w:val="20"/>
          <w:szCs w:val="20"/>
        </w:rPr>
      </w:pPr>
      <w:r w:rsidRPr="00EC23BB">
        <w:rPr>
          <w:rFonts w:ascii="Tahoma" w:hAnsi="Tahoma" w:cs="Tahoma"/>
          <w:b/>
          <w:bCs/>
          <w:sz w:val="20"/>
          <w:szCs w:val="20"/>
          <w:u w:val="single"/>
        </w:rPr>
        <w:t>Respecto de la Resolución de Contrato</w:t>
      </w:r>
    </w:p>
    <w:p w:rsid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 xml:space="preserve">La mencionada imputación establece como supuesto de hecho indispensable para su configuración, </w:t>
      </w:r>
      <w:r w:rsidRPr="00EC23BB">
        <w:rPr>
          <w:rFonts w:ascii="Tahoma" w:hAnsi="Tahoma" w:cs="Tahoma"/>
          <w:b/>
          <w:bCs/>
          <w:sz w:val="20"/>
          <w:szCs w:val="20"/>
        </w:rPr>
        <w:t>la resolución del contrato, orden de compra o de servicios, según corresponda, por causal atribuible a la Contratista</w:t>
      </w:r>
      <w:r w:rsidRPr="00EC23BB">
        <w:rPr>
          <w:rFonts w:ascii="Tahoma" w:hAnsi="Tahoma" w:cs="Tahoma"/>
          <w:sz w:val="20"/>
          <w:szCs w:val="20"/>
        </w:rPr>
        <w:t xml:space="preserve">. </w:t>
      </w:r>
    </w:p>
    <w:p w:rsid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El referido procedimiento de resolución contractual ha sido previsto en el artículo 226 del Reglamento, el cual dispone que en caso de incumplimiento contractual, la parte afectada requerirá a la otra notarialmente para que satisfaga sus obligaciones en un plazo no mayor de cinco (5) días, bajo apercibimiento de resolver el contrato</w:t>
      </w:r>
      <w:r w:rsidRPr="008E75A3">
        <w:rPr>
          <w:rFonts w:ascii="Tahoma" w:hAnsi="Tahoma" w:cs="Tahoma"/>
          <w:bCs/>
          <w:sz w:val="20"/>
          <w:szCs w:val="20"/>
        </w:rPr>
        <w:t>.</w:t>
      </w:r>
      <w:r w:rsidRPr="00EC23BB">
        <w:rPr>
          <w:rFonts w:ascii="Tahoma" w:hAnsi="Tahoma" w:cs="Tahoma"/>
          <w:sz w:val="20"/>
          <w:szCs w:val="20"/>
        </w:rPr>
        <w:t xml:space="preserve"> Dependiendo del monto contractual y de la complejidad, envergadura o sofisticación de la adquisición o contratación, </w:t>
      </w:r>
      <w:r w:rsidRPr="00EC23BB">
        <w:rPr>
          <w:rFonts w:ascii="Tahoma" w:hAnsi="Tahoma" w:cs="Tahoma"/>
          <w:b/>
          <w:bCs/>
          <w:sz w:val="20"/>
          <w:szCs w:val="20"/>
        </w:rPr>
        <w:t>la Entidad puede establecer plazos mayores, pero en ningún caso mayor a quince (15) días, plazo este último que se otorgará necesariamente en el caso de obras</w:t>
      </w:r>
      <w:r w:rsidRPr="00EC23BB">
        <w:rPr>
          <w:rFonts w:ascii="Tahoma" w:hAnsi="Tahoma" w:cs="Tahoma"/>
          <w:sz w:val="20"/>
          <w:szCs w:val="20"/>
        </w:rPr>
        <w:t xml:space="preserve">. </w:t>
      </w:r>
      <w:r w:rsidRPr="00EC23BB">
        <w:rPr>
          <w:rFonts w:ascii="Tahoma" w:hAnsi="Tahoma" w:cs="Tahoma"/>
          <w:b/>
          <w:bCs/>
          <w:sz w:val="20"/>
          <w:szCs w:val="20"/>
        </w:rPr>
        <w:t>Si vencido dicho plazo el incumplimiento continúa, la parte perjudicada resolverá el contrato en forma total o parcial, mediante carta notarial.</w:t>
      </w:r>
      <w:r w:rsidRPr="00EC23BB">
        <w:rPr>
          <w:rFonts w:ascii="Tahoma" w:hAnsi="Tahoma" w:cs="Tahoma"/>
          <w:sz w:val="20"/>
          <w:szCs w:val="20"/>
        </w:rPr>
        <w:t xml:space="preserve"> </w:t>
      </w:r>
      <w:r w:rsidRPr="00EC23BB">
        <w:rPr>
          <w:rFonts w:ascii="Tahoma" w:hAnsi="Tahoma" w:cs="Tahoma"/>
          <w:sz w:val="20"/>
          <w:szCs w:val="20"/>
          <w:lang w:val="es-ES_tradnl"/>
        </w:rPr>
        <w:t>Asimismo, el citado dispositivo reglamentario precisa que de continuar con el incumplimiento, la parte perjudicada comunicará notarialmente la resolución total o parcial del contrato.</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Conforme a los criterios utilizados por el Tribunal en anteriores oportunidades, para que la infracción imputada se configure, es menester que la Entidad, efectivamente, haya resuelto el contrato conforme al procedimiento descrito. De esta manera, aún en los casos en los que se haya generado el incumplimiento contractual, sin el Tribunal lograr verificar que la Entidad no ha resuelto el contrato en observancia de las normas citadas, la conducto no será pasible de sanción. Este criterio, además, ha sido recogido en el Acuerdo de Sala Plena Nº 018/010 del 04 de septiembre de 2002.</w:t>
      </w:r>
      <w:r w:rsidRPr="00EC23BB">
        <w:rPr>
          <w:rFonts w:ascii="Tahoma" w:hAnsi="Tahoma" w:cs="Tahoma"/>
          <w:sz w:val="20"/>
          <w:szCs w:val="20"/>
          <w:vertAlign w:val="superscript"/>
        </w:rPr>
        <w:footnoteReference w:id="2"/>
      </w:r>
    </w:p>
    <w:p w:rsidR="00A00207" w:rsidRPr="00EC23BB" w:rsidRDefault="00A00207" w:rsidP="000A3341">
      <w:pPr>
        <w:pStyle w:val="Prrafodelista"/>
        <w:rPr>
          <w:rFonts w:ascii="Tahoma" w:hAnsi="Tahoma" w:cs="Tahoma"/>
          <w:sz w:val="20"/>
          <w:highlight w:val="yellow"/>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En ese orden de ideas, corresponde determinar de manera previa si la Entidad ha seguido el debido procedimiento para la resolución de contrato, conforme a lo previsto en el artículo 226º del Reglamento.</w:t>
      </w:r>
    </w:p>
    <w:p w:rsidR="00A00207" w:rsidRPr="00EC23BB" w:rsidRDefault="00A00207" w:rsidP="000A3341">
      <w:pPr>
        <w:pStyle w:val="Prrafodelista"/>
        <w:rPr>
          <w:rFonts w:ascii="Tahoma" w:hAnsi="Tahoma" w:cs="Tahoma"/>
          <w:sz w:val="20"/>
          <w:highlight w:val="yellow"/>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Sobre el particular, de la documentación obrante en autos, se observa que la Entidad remitió al Contratista, vía conducto notarial, dos (02) comunicaciones:</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1"/>
        </w:numPr>
        <w:spacing w:after="0" w:line="240" w:lineRule="auto"/>
        <w:jc w:val="both"/>
        <w:rPr>
          <w:rFonts w:ascii="Tahoma" w:hAnsi="Tahoma" w:cs="Tahoma"/>
          <w:b/>
          <w:bCs/>
          <w:sz w:val="20"/>
          <w:szCs w:val="20"/>
        </w:rPr>
      </w:pPr>
      <w:r w:rsidRPr="00EC23BB">
        <w:rPr>
          <w:rFonts w:ascii="Tahoma" w:hAnsi="Tahoma" w:cs="Tahoma"/>
          <w:sz w:val="20"/>
          <w:szCs w:val="20"/>
        </w:rPr>
        <w:t>Carta  Nº 0107-2008/2008D-C0J.M.G.P-PJ de fecha 29 de agosto de 2008, notificada por conducto notarial en la misma fecha, mediante la cual se le indicó al Contratista que no había cumplido con la entrega de los productos alimenticios correspondientes a los meses de abril, mayo, junio, julio y agosto, razón por la cual, se le otorgó el plazo de 05 días para que cumpliera con dicho suministro.</w:t>
      </w:r>
    </w:p>
    <w:p w:rsidR="00A00207" w:rsidRPr="00EC23BB" w:rsidRDefault="00A00207" w:rsidP="000A3341">
      <w:pPr>
        <w:numPr>
          <w:ilvl w:val="0"/>
          <w:numId w:val="11"/>
        </w:numPr>
        <w:spacing w:after="0" w:line="240" w:lineRule="auto"/>
        <w:jc w:val="both"/>
        <w:rPr>
          <w:rFonts w:ascii="Tahoma" w:hAnsi="Tahoma" w:cs="Tahoma"/>
          <w:sz w:val="20"/>
          <w:szCs w:val="20"/>
        </w:rPr>
      </w:pPr>
      <w:r w:rsidRPr="00EC23BB">
        <w:rPr>
          <w:rFonts w:ascii="Tahoma" w:hAnsi="Tahoma" w:cs="Tahoma"/>
          <w:sz w:val="20"/>
          <w:szCs w:val="20"/>
        </w:rPr>
        <w:t>Carta Nº 111-2008-/D-C.J.M.G.P-PJ de fecha 08 de setiembre de 2008, notificada por conducto notarial el 10 del mismo mes y año, la Entidad comunicó al contratista la resolución total del Contrato, pues no se había cumplido con la entrega de los productos solicitados.</w:t>
      </w:r>
    </w:p>
    <w:p w:rsidR="00A00207" w:rsidRPr="00EC23BB" w:rsidRDefault="00A00207" w:rsidP="000A3341">
      <w:pPr>
        <w:pStyle w:val="Prrafodelista"/>
        <w:rPr>
          <w:rFonts w:ascii="Tahoma" w:hAnsi="Tahoma" w:cs="Tahoma"/>
          <w:sz w:val="20"/>
        </w:rPr>
      </w:pPr>
    </w:p>
    <w:p w:rsidR="00497C7C"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De esta manera, se verifica que la Entidad ha observado la formalidad establecida en el artículo 226º del Reglamento, requisito indispensable de verificación del cumplimiento del debido procedimiento de resolución de contrato, a fin que la acción del Contratista al haber incumplido sus obligaciones contractuales - que dieron lugar a la resolución de contrato por causa atribuible a su parte - sea típica.</w:t>
      </w:r>
    </w:p>
    <w:p w:rsidR="00497C7C" w:rsidRDefault="00497C7C" w:rsidP="000A3341">
      <w:pPr>
        <w:spacing w:after="0" w:line="240" w:lineRule="auto"/>
        <w:ind w:left="720"/>
        <w:jc w:val="both"/>
        <w:rPr>
          <w:rFonts w:ascii="Tahoma" w:hAnsi="Tahoma" w:cs="Tahoma"/>
          <w:sz w:val="20"/>
          <w:szCs w:val="20"/>
        </w:rPr>
      </w:pPr>
    </w:p>
    <w:p w:rsidR="00A00207" w:rsidRPr="00497C7C" w:rsidRDefault="00A00207" w:rsidP="000A3341">
      <w:pPr>
        <w:numPr>
          <w:ilvl w:val="0"/>
          <w:numId w:val="10"/>
        </w:numPr>
        <w:spacing w:after="0" w:line="240" w:lineRule="auto"/>
        <w:jc w:val="both"/>
        <w:rPr>
          <w:rFonts w:ascii="Tahoma" w:hAnsi="Tahoma" w:cs="Tahoma"/>
          <w:sz w:val="20"/>
          <w:szCs w:val="20"/>
        </w:rPr>
      </w:pPr>
      <w:r w:rsidRPr="00497C7C">
        <w:rPr>
          <w:rFonts w:ascii="Tahoma" w:hAnsi="Tahoma" w:cs="Tahoma"/>
          <w:sz w:val="20"/>
          <w:szCs w:val="20"/>
        </w:rPr>
        <w:lastRenderedPageBreak/>
        <w:t>Al respecto, es importante indicar</w:t>
      </w:r>
      <w:r w:rsidRPr="00497C7C">
        <w:rPr>
          <w:rFonts w:ascii="Tahoma" w:hAnsi="Tahoma" w:cs="Tahoma"/>
          <w:sz w:val="20"/>
          <w:szCs w:val="20"/>
          <w:lang w:val="es-ES_tradnl"/>
        </w:rPr>
        <w:t xml:space="preserve"> que, las controversias que surjan entre las partes sobre la ejecución, interpretación, resolución, inexistencia, ineficacia o invalidez del contrato se resolverán mediante conciliación y/o arbitraje, según el acuerdo de las partes, siendo que cualquiera de ellas tiene el derecho de solicitar su inicio. </w:t>
      </w:r>
    </w:p>
    <w:p w:rsidR="00A00207" w:rsidRPr="00EC23BB" w:rsidRDefault="00A00207" w:rsidP="000A3341">
      <w:pPr>
        <w:pStyle w:val="Prrafodelista"/>
        <w:jc w:val="both"/>
        <w:rPr>
          <w:rFonts w:ascii="Tahoma" w:hAnsi="Tahoma" w:cs="Tahoma"/>
          <w:sz w:val="20"/>
        </w:rPr>
      </w:pPr>
    </w:p>
    <w:p w:rsidR="00A00207" w:rsidRPr="00EC23BB" w:rsidRDefault="00A00207" w:rsidP="000A3341">
      <w:pPr>
        <w:spacing w:line="240" w:lineRule="auto"/>
        <w:ind w:left="720"/>
        <w:jc w:val="both"/>
        <w:rPr>
          <w:rFonts w:ascii="Tahoma" w:hAnsi="Tahoma" w:cs="Tahoma"/>
          <w:sz w:val="20"/>
          <w:szCs w:val="20"/>
        </w:rPr>
      </w:pPr>
      <w:r w:rsidRPr="00EC23BB">
        <w:rPr>
          <w:rFonts w:ascii="Tahoma" w:hAnsi="Tahoma" w:cs="Tahoma"/>
          <w:sz w:val="20"/>
          <w:szCs w:val="20"/>
          <w:lang w:val="es-ES_tradnl"/>
        </w:rPr>
        <w:t>Por tanto, siendo que el Contratista no ha indicado que haya cuestionado la resolución del contrato dentro de los plazos legales establecidos para ello, a pesar de haber sido supuestamente afectado por la decisión de la Entidad, debe entenderse que consintió dicha actuación al no haberla discutido en las instancias correspondientes, no constituyendo obligación de la Entidad recurrir a tales mecanismos de manera previa a la resolución del vínculo contractual.</w:t>
      </w: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lang w:val="es-PE"/>
        </w:rPr>
        <w:t>En ese orden de ideas, corresponde determinar si el Contratista, obligado a cumplir cabalmente con lo ofrecido en su propuesta y en cualquier manifestación formal documentada que haya aportado en el curso del proceso de selección, según lo dispuesto en la Ley de Contrataciones del Estado</w:t>
      </w:r>
      <w:r w:rsidRPr="00EC23BB">
        <w:rPr>
          <w:rStyle w:val="Refdenotaalpie"/>
          <w:rFonts w:ascii="Tahoma" w:hAnsi="Tahoma" w:cs="Tahoma"/>
          <w:sz w:val="20"/>
          <w:szCs w:val="20"/>
        </w:rPr>
        <w:t>,</w:t>
      </w:r>
      <w:r w:rsidRPr="00EC23BB">
        <w:rPr>
          <w:rFonts w:ascii="Tahoma" w:hAnsi="Tahoma" w:cs="Tahoma"/>
          <w:sz w:val="20"/>
          <w:szCs w:val="20"/>
        </w:rPr>
        <w:t>,</w:t>
      </w:r>
      <w:r w:rsidRPr="00EC23BB">
        <w:rPr>
          <w:rFonts w:ascii="Tahoma" w:hAnsi="Tahoma" w:cs="Tahoma"/>
          <w:sz w:val="20"/>
          <w:szCs w:val="20"/>
          <w:lang w:val="es-PE"/>
        </w:rPr>
        <w:t xml:space="preserve"> es responsable de la resolución de las referidas órdenes de compra, por el incumplimiento injustificado de sus obligaciones contractuales, ya que </w:t>
      </w:r>
      <w:r w:rsidRPr="00EC23BB">
        <w:rPr>
          <w:rFonts w:ascii="Tahoma" w:hAnsi="Tahoma" w:cs="Tahoma"/>
          <w:sz w:val="20"/>
          <w:szCs w:val="20"/>
        </w:rPr>
        <w:t>en el supuesto de haberse producido por razones de fuerza mayor o caso fortuito, estaremos ante causas justificantes de la inejecución de obligaciones a su cargo.</w:t>
      </w:r>
    </w:p>
    <w:p w:rsid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Sobre el particular, es necesario indicar que en los casos de incumplimiento de obligaciones, existe la presunción legal establecida en el artículo 1329º del Código Civil, según el cual se entiende que el incumplimiento es producto de la falta de diligencia del deudor. Esto genera en la persona del deudor el deber de demostrar lo contrario y acreditar que, pese a haber actuado con la diligencia ordinaria exigida por la naturaleza de la prestación, le resultó imposible cumplirla.</w:t>
      </w:r>
    </w:p>
    <w:p w:rsidR="00497C7C" w:rsidRDefault="00497C7C"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 xml:space="preserve">En este punto, es preciso analizar que la denuncia realizada por la Entidad supone la responsabilidad del contratista por haber dado lugar a la resolución de las Órdenes de Compra Nº </w:t>
      </w:r>
      <w:r w:rsidRPr="00EC23BB">
        <w:rPr>
          <w:rFonts w:ascii="Tahoma" w:hAnsi="Tahoma" w:cs="Tahoma"/>
          <w:sz w:val="20"/>
          <w:szCs w:val="20"/>
          <w:u w:val="single"/>
        </w:rPr>
        <w:t>900, 901, 1194 y 1195</w:t>
      </w:r>
      <w:r w:rsidRPr="00EC23BB">
        <w:rPr>
          <w:rFonts w:ascii="Tahoma" w:hAnsi="Tahoma" w:cs="Tahoma"/>
          <w:sz w:val="20"/>
          <w:szCs w:val="20"/>
        </w:rPr>
        <w:t>.</w:t>
      </w:r>
    </w:p>
    <w:p w:rsidR="00A00207" w:rsidRPr="00EC23BB" w:rsidRDefault="00A00207" w:rsidP="000A3341">
      <w:pPr>
        <w:pStyle w:val="Prrafodelista"/>
        <w:rPr>
          <w:rFonts w:ascii="Tahoma" w:hAnsi="Tahoma" w:cs="Tahoma"/>
          <w:sz w:val="20"/>
        </w:rPr>
      </w:pPr>
    </w:p>
    <w:p w:rsidR="00A00207" w:rsidRPr="00EC23BB" w:rsidRDefault="00A00207" w:rsidP="000A3341">
      <w:pPr>
        <w:pStyle w:val="Prrafodelista"/>
        <w:rPr>
          <w:rFonts w:ascii="Tahoma" w:hAnsi="Tahoma" w:cs="Tahoma"/>
          <w:b/>
          <w:bCs/>
          <w:sz w:val="20"/>
        </w:rPr>
      </w:pPr>
      <w:r w:rsidRPr="00EC23BB">
        <w:rPr>
          <w:rFonts w:ascii="Tahoma" w:hAnsi="Tahoma" w:cs="Tahoma"/>
          <w:b/>
          <w:bCs/>
          <w:sz w:val="20"/>
        </w:rPr>
        <w:t>Respecto a las Órdenes de Compra Nº 1194 y 1195</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Del análisis a las Órdenes de Compra Nº 900 y 901, presentadas por la Entidad, se puede evidenciar que estas fueron emitidas el 24 de junio de 2008, correspondientes a las entregas de alimentos del mes de julio de dicho año, las cuales el contratista admitió haberlas recibido tardíamente.</w:t>
      </w:r>
    </w:p>
    <w:p w:rsidR="00A00207" w:rsidRPr="00EC23BB" w:rsidRDefault="00A00207" w:rsidP="000A3341">
      <w:pPr>
        <w:pStyle w:val="Prrafodelista"/>
        <w:rPr>
          <w:rFonts w:ascii="Tahoma" w:hAnsi="Tahoma" w:cs="Tahoma"/>
          <w:sz w:val="20"/>
        </w:rPr>
      </w:pPr>
    </w:p>
    <w:p w:rsidR="00497C7C" w:rsidRDefault="00A00207" w:rsidP="000A3341">
      <w:pPr>
        <w:spacing w:line="240" w:lineRule="auto"/>
        <w:ind w:left="720"/>
        <w:jc w:val="both"/>
        <w:rPr>
          <w:rFonts w:ascii="Tahoma" w:hAnsi="Tahoma" w:cs="Tahoma"/>
          <w:sz w:val="20"/>
          <w:szCs w:val="20"/>
        </w:rPr>
      </w:pPr>
      <w:r w:rsidRPr="00EC23BB">
        <w:rPr>
          <w:rFonts w:ascii="Tahoma" w:hAnsi="Tahoma" w:cs="Tahoma"/>
          <w:sz w:val="20"/>
          <w:szCs w:val="20"/>
        </w:rPr>
        <w:t>Sin embargo, respecto a las órdenes Nº 1194 y 1195 correspondientes al mes de agosto de 2008, señaló que nunca le fueron notificadas, por lo que no resultaría valido exigir el cumplim</w:t>
      </w:r>
      <w:r w:rsidR="00497C7C">
        <w:rPr>
          <w:rFonts w:ascii="Tahoma" w:hAnsi="Tahoma" w:cs="Tahoma"/>
          <w:sz w:val="20"/>
          <w:szCs w:val="20"/>
        </w:rPr>
        <w:t>iento de las mismas</w:t>
      </w:r>
    </w:p>
    <w:p w:rsidR="00497C7C" w:rsidRDefault="00A00207" w:rsidP="000A3341">
      <w:pPr>
        <w:spacing w:line="240" w:lineRule="auto"/>
        <w:ind w:left="720"/>
        <w:jc w:val="both"/>
        <w:rPr>
          <w:rFonts w:ascii="Tahoma" w:hAnsi="Tahoma" w:cs="Tahoma"/>
          <w:sz w:val="20"/>
          <w:szCs w:val="20"/>
        </w:rPr>
      </w:pPr>
      <w:r w:rsidRPr="00EC23BB">
        <w:rPr>
          <w:rFonts w:ascii="Tahoma" w:hAnsi="Tahoma" w:cs="Tahoma"/>
          <w:sz w:val="20"/>
          <w:szCs w:val="20"/>
        </w:rPr>
        <w:t xml:space="preserve">En relación a lo expuesto, se le solicitó a la Entidad remita copia de las órdenes de compra cuestionadas, debidamente recibidas por el Contratista, a efectos  de conocer la fecha exacta de recepción y evidenciar la obligatoriedad de sus cumplimientos. </w:t>
      </w:r>
    </w:p>
    <w:p w:rsidR="00A00207" w:rsidRPr="00EC23BB" w:rsidRDefault="00A00207" w:rsidP="000A3341">
      <w:pPr>
        <w:spacing w:line="240" w:lineRule="auto"/>
        <w:ind w:left="720"/>
        <w:jc w:val="both"/>
        <w:rPr>
          <w:rFonts w:ascii="Tahoma" w:hAnsi="Tahoma" w:cs="Tahoma"/>
          <w:sz w:val="20"/>
          <w:szCs w:val="20"/>
        </w:rPr>
      </w:pPr>
      <w:r w:rsidRPr="00EC23BB">
        <w:rPr>
          <w:rFonts w:ascii="Tahoma" w:hAnsi="Tahoma" w:cs="Tahoma"/>
          <w:sz w:val="20"/>
          <w:szCs w:val="20"/>
        </w:rPr>
        <w:t xml:space="preserve">El referido requerimiento no fue atendido, pues según lo señalado en el Oficio Nº 697-2010/DE-CJMG-P-PJ, de fecha 10 de junio de 2010, se solicitó a la Sub dirección de logística la anulación de las órdenes de compra Nros 900, 901, 1194 y 1195  con el fin  de no quedar desabastecido y ser atendido mediante el sistema de No Aplicable, por tal </w:t>
      </w:r>
      <w:r w:rsidRPr="00EC23BB">
        <w:rPr>
          <w:rFonts w:ascii="Tahoma" w:hAnsi="Tahoma" w:cs="Tahoma"/>
          <w:sz w:val="20"/>
          <w:szCs w:val="20"/>
        </w:rPr>
        <w:lastRenderedPageBreak/>
        <w:t>motivo, dichos documentos no obran en el despacho de la Entidad, imposibilitándose de esta manera evidenciar la fecha exacta de comunicación al Contratista.</w:t>
      </w: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En virtud a ello, este colegiado no podría atribuir responsabilidad al Contratista por el incumplimento de las Ordenes de Compra Nros 1194 y 1195, correspondiente al mes de agosto de 2008, pues además de haber sido anuladas, no se puede tenerse certeza de su efectiva notificación, toda vez que este hecho no sólo ha sido negado por el Sr. Abel Vilcherrez Macalupu, sino que además, la Entidad no ha acreditado haberlas diligenciado, razón por la cual este Tribunal no puede pronunciarse sobre su incumplimiento, impidiéndose configurar la causal de sanción respecto a la resolución de las Ordenes de Compra Nros 1194 y 1195.</w:t>
      </w:r>
    </w:p>
    <w:p w:rsidR="00A00207" w:rsidRPr="00EC23BB" w:rsidRDefault="00A00207" w:rsidP="000A3341">
      <w:pPr>
        <w:pStyle w:val="Prrafodelista"/>
        <w:ind w:left="720"/>
        <w:rPr>
          <w:rFonts w:ascii="Tahoma" w:hAnsi="Tahoma" w:cs="Tahoma"/>
          <w:b/>
          <w:bCs/>
          <w:sz w:val="20"/>
        </w:rPr>
      </w:pPr>
    </w:p>
    <w:p w:rsidR="00A00207" w:rsidRPr="00EC23BB" w:rsidRDefault="00A00207" w:rsidP="000A3341">
      <w:pPr>
        <w:pStyle w:val="Prrafodelista"/>
        <w:ind w:left="720"/>
        <w:rPr>
          <w:rFonts w:ascii="Tahoma" w:hAnsi="Tahoma" w:cs="Tahoma"/>
          <w:b/>
          <w:bCs/>
          <w:sz w:val="20"/>
        </w:rPr>
      </w:pPr>
      <w:r w:rsidRPr="00EC23BB">
        <w:rPr>
          <w:rFonts w:ascii="Tahoma" w:hAnsi="Tahoma" w:cs="Tahoma"/>
          <w:b/>
          <w:bCs/>
          <w:sz w:val="20"/>
        </w:rPr>
        <w:t>Respecto a las Órdenes de Compra Nº 900 y 901</w:t>
      </w:r>
    </w:p>
    <w:p w:rsidR="00497C7C" w:rsidRDefault="00497C7C" w:rsidP="000A3341">
      <w:pPr>
        <w:spacing w:after="0" w:line="240" w:lineRule="auto"/>
        <w:ind w:left="1416"/>
        <w:jc w:val="both"/>
        <w:rPr>
          <w:rFonts w:ascii="Tahoma" w:hAnsi="Tahoma" w:cs="Tahoma"/>
          <w:sz w:val="20"/>
          <w:szCs w:val="20"/>
        </w:rPr>
      </w:pPr>
    </w:p>
    <w:p w:rsidR="00497C7C" w:rsidRDefault="00497C7C" w:rsidP="000A3341">
      <w:pPr>
        <w:numPr>
          <w:ilvl w:val="0"/>
          <w:numId w:val="10"/>
        </w:numPr>
        <w:spacing w:after="0" w:line="240" w:lineRule="auto"/>
        <w:jc w:val="both"/>
        <w:rPr>
          <w:rFonts w:ascii="Tahoma" w:hAnsi="Tahoma" w:cs="Tahoma"/>
          <w:sz w:val="20"/>
          <w:szCs w:val="20"/>
        </w:rPr>
      </w:pPr>
      <w:r>
        <w:rPr>
          <w:rFonts w:ascii="Tahoma" w:hAnsi="Tahoma" w:cs="Tahoma"/>
          <w:sz w:val="20"/>
          <w:szCs w:val="20"/>
        </w:rPr>
        <w:t xml:space="preserve">Habiéndose </w:t>
      </w:r>
      <w:r w:rsidR="00A00207" w:rsidRPr="00EC23BB">
        <w:rPr>
          <w:rFonts w:ascii="Tahoma" w:hAnsi="Tahoma" w:cs="Tahoma"/>
          <w:sz w:val="20"/>
          <w:szCs w:val="20"/>
        </w:rPr>
        <w:t>pronunciado este Colegiado sobre la responsabilidad del Contratista en la resolución de las Órdenes de Compra Nros 1194 y 1195, referidas al mes de agosto de 2008, corresponde analizar las demás órdenes de compra que fueron objeto de resolución contractual.</w:t>
      </w:r>
    </w:p>
    <w:p w:rsidR="00497C7C" w:rsidRDefault="00497C7C" w:rsidP="000A3341">
      <w:pPr>
        <w:spacing w:after="0" w:line="240" w:lineRule="auto"/>
        <w:ind w:left="720"/>
        <w:jc w:val="both"/>
        <w:rPr>
          <w:rFonts w:ascii="Tahoma" w:hAnsi="Tahoma" w:cs="Tahoma"/>
          <w:sz w:val="20"/>
          <w:szCs w:val="20"/>
        </w:rPr>
      </w:pPr>
    </w:p>
    <w:p w:rsidR="00A00207" w:rsidRPr="00497C7C" w:rsidRDefault="00A00207" w:rsidP="000A3341">
      <w:pPr>
        <w:numPr>
          <w:ilvl w:val="0"/>
          <w:numId w:val="10"/>
        </w:numPr>
        <w:spacing w:after="0" w:line="240" w:lineRule="auto"/>
        <w:jc w:val="both"/>
        <w:rPr>
          <w:rFonts w:ascii="Tahoma" w:hAnsi="Tahoma" w:cs="Tahoma"/>
          <w:sz w:val="20"/>
          <w:szCs w:val="20"/>
        </w:rPr>
      </w:pPr>
      <w:r w:rsidRPr="00497C7C">
        <w:rPr>
          <w:rFonts w:ascii="Tahoma" w:hAnsi="Tahoma" w:cs="Tahoma"/>
          <w:sz w:val="20"/>
          <w:szCs w:val="20"/>
        </w:rPr>
        <w:t xml:space="preserve">De la revisión a las Cartas Nº 107-2008/D-C.J.G-PJ y 0111-2008/D-C.J.M.G.P-PJ, con las cuales se requirió las obligaciones al contratista y se resolvió el vínculo contractual, se ha podido constatar que no se precisa cuales serían las órdenes de compra objeto de incumplimiento, sino que sólo se limitan a indicar los meses faltantes de ser atendidos, los que corresponden a </w:t>
      </w:r>
      <w:r w:rsidRPr="00497C7C">
        <w:rPr>
          <w:rFonts w:ascii="Tahoma" w:hAnsi="Tahoma" w:cs="Tahoma"/>
          <w:b/>
          <w:bCs/>
          <w:sz w:val="20"/>
          <w:szCs w:val="20"/>
          <w:u w:val="single"/>
        </w:rPr>
        <w:t xml:space="preserve">abril, mayo, junio, julio </w:t>
      </w:r>
      <w:r w:rsidRPr="00497C7C">
        <w:rPr>
          <w:rFonts w:ascii="Tahoma" w:hAnsi="Tahoma" w:cs="Tahoma"/>
          <w:sz w:val="20"/>
          <w:szCs w:val="20"/>
        </w:rPr>
        <w:t>y agosto, por tal motivo, este Colegiado se avocara a revisar el debido cumplimento del contratista a las prestaciones en dichos periodos.</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El proceso de selección convocado supone el suministro periódico de los siguientes productos alimenticios: arroz grado 2, frijol bayo grado 2, azúcar rubia, y aceite vegetal 100% vegetal.</w:t>
      </w:r>
    </w:p>
    <w:p w:rsidR="00A00207" w:rsidRPr="00EC23BB" w:rsidRDefault="00A00207" w:rsidP="000A3341">
      <w:pPr>
        <w:pStyle w:val="Prrafodelista"/>
        <w:rPr>
          <w:rFonts w:ascii="Tahoma" w:hAnsi="Tahoma" w:cs="Tahoma"/>
          <w:sz w:val="20"/>
        </w:rPr>
      </w:pPr>
    </w:p>
    <w:p w:rsidR="00A00207" w:rsidRPr="00EC23BB" w:rsidRDefault="00A00207" w:rsidP="000A3341">
      <w:pPr>
        <w:spacing w:line="240" w:lineRule="auto"/>
        <w:ind w:left="720"/>
        <w:jc w:val="both"/>
        <w:rPr>
          <w:rFonts w:ascii="Tahoma" w:hAnsi="Tahoma" w:cs="Tahoma"/>
          <w:sz w:val="20"/>
          <w:szCs w:val="20"/>
        </w:rPr>
      </w:pPr>
      <w:r w:rsidRPr="00EC23BB">
        <w:rPr>
          <w:rFonts w:ascii="Tahoma" w:hAnsi="Tahoma" w:cs="Tahoma"/>
          <w:sz w:val="20"/>
          <w:szCs w:val="20"/>
        </w:rPr>
        <w:t>Para dicho proceso el Contratista ofertó como plazo de entrega un día desde la recepción de la orden de compra.</w:t>
      </w:r>
    </w:p>
    <w:p w:rsidR="001A5D08"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 xml:space="preserve">En virtud a la documentación obrante en autos, se puede verificar que el Contratista ha venido cumpliendo con sus obligaciones con retrasos en la entrega, pues con Carta </w:t>
      </w:r>
      <w:r w:rsidRPr="00EC23BB">
        <w:rPr>
          <w:rFonts w:ascii="Tahoma" w:hAnsi="Tahoma" w:cs="Tahoma"/>
          <w:sz w:val="20"/>
          <w:szCs w:val="20"/>
        </w:rPr>
        <w:br/>
        <w:t>Nº 001-2008/AD-C.J.M.G.P-PJ de fecha 13 de mayo de 2008, se le requirió la remisión de los bienes correspondientes a los meses de febrero, marzo y abril.</w:t>
      </w:r>
    </w:p>
    <w:p w:rsidR="001A5D08" w:rsidRDefault="001A5D08" w:rsidP="000A3341">
      <w:pPr>
        <w:spacing w:after="0" w:line="240" w:lineRule="auto"/>
        <w:ind w:left="720"/>
        <w:jc w:val="both"/>
        <w:rPr>
          <w:rFonts w:ascii="Tahoma" w:hAnsi="Tahoma" w:cs="Tahoma"/>
          <w:sz w:val="20"/>
          <w:szCs w:val="20"/>
        </w:rPr>
      </w:pPr>
    </w:p>
    <w:p w:rsidR="001A5D08" w:rsidRDefault="00A00207" w:rsidP="000A3341">
      <w:pPr>
        <w:numPr>
          <w:ilvl w:val="0"/>
          <w:numId w:val="10"/>
        </w:numPr>
        <w:spacing w:after="0" w:line="240" w:lineRule="auto"/>
        <w:jc w:val="both"/>
        <w:rPr>
          <w:rFonts w:ascii="Tahoma" w:hAnsi="Tahoma" w:cs="Tahoma"/>
          <w:sz w:val="20"/>
          <w:szCs w:val="20"/>
        </w:rPr>
      </w:pPr>
      <w:r w:rsidRPr="001A5D08">
        <w:rPr>
          <w:rFonts w:ascii="Tahoma" w:hAnsi="Tahoma" w:cs="Tahoma"/>
          <w:sz w:val="20"/>
          <w:szCs w:val="20"/>
        </w:rPr>
        <w:t>Esta situación de desabastecimiento perjudicó a los fines de la Entidad, muestra de ello es que con Informe Nº 006-2008-AD-CJM-G-P-PJ de fecha 23 de mayo de 2008, el Administrador del centro juvenil Miguel Grau De Piura, le indicó al Director de dicho centro que el Contratista no había cumplido con las entregas correspondientes a los meses de febrero, marzo y abril de 2008.</w:t>
      </w:r>
    </w:p>
    <w:p w:rsidR="001A5D08" w:rsidRDefault="001A5D08" w:rsidP="000A3341">
      <w:pPr>
        <w:pStyle w:val="Prrafodelista"/>
        <w:rPr>
          <w:rFonts w:ascii="Tahoma" w:hAnsi="Tahoma" w:cs="Tahoma"/>
          <w:sz w:val="20"/>
        </w:rPr>
      </w:pPr>
    </w:p>
    <w:p w:rsidR="00A00207" w:rsidRPr="001A5D08" w:rsidRDefault="00A00207" w:rsidP="000A3341">
      <w:pPr>
        <w:spacing w:after="0" w:line="240" w:lineRule="auto"/>
        <w:ind w:left="720"/>
        <w:jc w:val="both"/>
        <w:rPr>
          <w:rFonts w:ascii="Tahoma" w:hAnsi="Tahoma" w:cs="Tahoma"/>
          <w:sz w:val="20"/>
          <w:szCs w:val="20"/>
        </w:rPr>
      </w:pPr>
      <w:r w:rsidRPr="001A5D08">
        <w:rPr>
          <w:rFonts w:ascii="Tahoma" w:hAnsi="Tahoma" w:cs="Tahoma"/>
          <w:sz w:val="20"/>
          <w:szCs w:val="20"/>
        </w:rPr>
        <w:t>En dicho documento se le señaló que por coordinación telefónica con el contratista no se realizaría ninguna entrega, puesto que solicitaría la resolución del contrato, no asistiendo a recabar las órdenes de compra de marzo y abril.</w:t>
      </w:r>
    </w:p>
    <w:p w:rsidR="001A5D08" w:rsidRDefault="001A5D08"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lastRenderedPageBreak/>
        <w:t>A efectos de verse abastecidos con dichos productos, mediante la Carta Nº 049-2008/D-C.J.M.G.P-PJ, de fecha 24 de mayo de 2008, la Entidad le indicó al Contratista que adeudaba los siguientes cantidades a suministrar:</w:t>
      </w:r>
    </w:p>
    <w:p w:rsidR="00A00207" w:rsidRPr="00EC23BB" w:rsidRDefault="00A00207" w:rsidP="000A3341">
      <w:pPr>
        <w:spacing w:line="240" w:lineRule="auto"/>
        <w:ind w:left="720"/>
        <w:rPr>
          <w:rFonts w:ascii="Tahoma" w:hAnsi="Tahoma" w:cs="Tahoma"/>
          <w:sz w:val="20"/>
          <w:szCs w:val="20"/>
        </w:rPr>
      </w:pPr>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76"/>
        <w:gridCol w:w="1011"/>
        <w:gridCol w:w="982"/>
        <w:gridCol w:w="851"/>
        <w:gridCol w:w="983"/>
      </w:tblGrid>
      <w:tr w:rsidR="00A00207" w:rsidRPr="00EC23BB" w:rsidTr="00267357">
        <w:trPr>
          <w:trHeight w:val="256"/>
        </w:trPr>
        <w:tc>
          <w:tcPr>
            <w:tcW w:w="1276" w:type="dxa"/>
            <w:shd w:val="clear" w:color="auto" w:fill="A6A6A6"/>
            <w:vAlign w:val="center"/>
          </w:tcPr>
          <w:p w:rsidR="00A00207" w:rsidRPr="00267357" w:rsidRDefault="00A00207" w:rsidP="000A3341">
            <w:pPr>
              <w:spacing w:line="240" w:lineRule="auto"/>
              <w:ind w:left="158"/>
              <w:jc w:val="center"/>
              <w:rPr>
                <w:rFonts w:ascii="Tahoma" w:hAnsi="Tahoma" w:cs="Tahoma"/>
                <w:b/>
                <w:bCs/>
                <w:sz w:val="16"/>
                <w:szCs w:val="16"/>
              </w:rPr>
            </w:pPr>
            <w:r w:rsidRPr="00267357">
              <w:rPr>
                <w:rFonts w:ascii="Tahoma" w:hAnsi="Tahoma" w:cs="Tahoma"/>
                <w:b/>
                <w:bCs/>
                <w:sz w:val="16"/>
                <w:szCs w:val="16"/>
              </w:rPr>
              <w:t>Descripción</w:t>
            </w:r>
          </w:p>
        </w:tc>
        <w:tc>
          <w:tcPr>
            <w:tcW w:w="1011" w:type="dxa"/>
            <w:shd w:val="clear" w:color="auto" w:fill="A6A6A6"/>
            <w:vAlign w:val="center"/>
          </w:tcPr>
          <w:p w:rsidR="00A00207" w:rsidRPr="00267357" w:rsidRDefault="00A00207" w:rsidP="000A3341">
            <w:pPr>
              <w:spacing w:line="240" w:lineRule="auto"/>
              <w:jc w:val="center"/>
              <w:rPr>
                <w:rFonts w:ascii="Tahoma" w:hAnsi="Tahoma" w:cs="Tahoma"/>
                <w:b/>
                <w:bCs/>
                <w:sz w:val="16"/>
                <w:szCs w:val="16"/>
              </w:rPr>
            </w:pPr>
            <w:r w:rsidRPr="00267357">
              <w:rPr>
                <w:rFonts w:ascii="Tahoma" w:hAnsi="Tahoma" w:cs="Tahoma"/>
                <w:b/>
                <w:bCs/>
                <w:sz w:val="16"/>
                <w:szCs w:val="16"/>
              </w:rPr>
              <w:t>Febrero</w:t>
            </w:r>
          </w:p>
        </w:tc>
        <w:tc>
          <w:tcPr>
            <w:tcW w:w="982" w:type="dxa"/>
            <w:shd w:val="clear" w:color="auto" w:fill="A6A6A6"/>
            <w:vAlign w:val="center"/>
          </w:tcPr>
          <w:p w:rsidR="00A00207" w:rsidRPr="00267357" w:rsidRDefault="00A00207" w:rsidP="000A3341">
            <w:pPr>
              <w:spacing w:line="240" w:lineRule="auto"/>
              <w:jc w:val="center"/>
              <w:rPr>
                <w:rFonts w:ascii="Tahoma" w:hAnsi="Tahoma" w:cs="Tahoma"/>
                <w:b/>
                <w:bCs/>
                <w:sz w:val="16"/>
                <w:szCs w:val="16"/>
              </w:rPr>
            </w:pPr>
            <w:r w:rsidRPr="00267357">
              <w:rPr>
                <w:rFonts w:ascii="Tahoma" w:hAnsi="Tahoma" w:cs="Tahoma"/>
                <w:b/>
                <w:bCs/>
                <w:sz w:val="16"/>
                <w:szCs w:val="16"/>
              </w:rPr>
              <w:t>Marzo</w:t>
            </w:r>
          </w:p>
        </w:tc>
        <w:tc>
          <w:tcPr>
            <w:tcW w:w="851" w:type="dxa"/>
            <w:shd w:val="clear" w:color="auto" w:fill="A6A6A6"/>
            <w:vAlign w:val="center"/>
          </w:tcPr>
          <w:p w:rsidR="00A00207" w:rsidRPr="00267357" w:rsidRDefault="00A00207" w:rsidP="000A3341">
            <w:pPr>
              <w:spacing w:line="240" w:lineRule="auto"/>
              <w:jc w:val="center"/>
              <w:rPr>
                <w:rFonts w:ascii="Tahoma" w:hAnsi="Tahoma" w:cs="Tahoma"/>
                <w:b/>
                <w:bCs/>
                <w:sz w:val="16"/>
                <w:szCs w:val="16"/>
              </w:rPr>
            </w:pPr>
            <w:r w:rsidRPr="00267357">
              <w:rPr>
                <w:rFonts w:ascii="Tahoma" w:hAnsi="Tahoma" w:cs="Tahoma"/>
                <w:b/>
                <w:bCs/>
                <w:sz w:val="16"/>
                <w:szCs w:val="16"/>
              </w:rPr>
              <w:t>Abril</w:t>
            </w:r>
          </w:p>
        </w:tc>
        <w:tc>
          <w:tcPr>
            <w:tcW w:w="983" w:type="dxa"/>
            <w:shd w:val="clear" w:color="auto" w:fill="A6A6A6"/>
            <w:vAlign w:val="center"/>
          </w:tcPr>
          <w:p w:rsidR="00A00207" w:rsidRPr="00267357" w:rsidRDefault="00A00207" w:rsidP="000A3341">
            <w:pPr>
              <w:spacing w:line="240" w:lineRule="auto"/>
              <w:jc w:val="center"/>
              <w:rPr>
                <w:rFonts w:ascii="Tahoma" w:hAnsi="Tahoma" w:cs="Tahoma"/>
                <w:b/>
                <w:bCs/>
                <w:sz w:val="16"/>
                <w:szCs w:val="16"/>
              </w:rPr>
            </w:pPr>
            <w:r w:rsidRPr="00267357">
              <w:rPr>
                <w:rFonts w:ascii="Tahoma" w:hAnsi="Tahoma" w:cs="Tahoma"/>
                <w:b/>
                <w:bCs/>
                <w:sz w:val="16"/>
                <w:szCs w:val="16"/>
              </w:rPr>
              <w:t>Total</w:t>
            </w:r>
          </w:p>
        </w:tc>
      </w:tr>
      <w:tr w:rsidR="00A00207" w:rsidRPr="00EC23BB" w:rsidTr="00267357">
        <w:trPr>
          <w:trHeight w:val="594"/>
        </w:trPr>
        <w:tc>
          <w:tcPr>
            <w:tcW w:w="1276" w:type="dxa"/>
            <w:vAlign w:val="center"/>
          </w:tcPr>
          <w:p w:rsidR="00A00207" w:rsidRPr="00267357" w:rsidRDefault="00A00207" w:rsidP="000A3341">
            <w:pPr>
              <w:spacing w:line="240" w:lineRule="auto"/>
              <w:ind w:left="720"/>
              <w:jc w:val="center"/>
              <w:rPr>
                <w:rFonts w:ascii="Tahoma" w:hAnsi="Tahoma" w:cs="Tahoma"/>
                <w:b/>
                <w:bCs/>
                <w:sz w:val="16"/>
                <w:szCs w:val="16"/>
              </w:rPr>
            </w:pPr>
          </w:p>
          <w:p w:rsidR="00A00207" w:rsidRPr="00267357" w:rsidRDefault="00A00207" w:rsidP="000A3341">
            <w:pPr>
              <w:spacing w:line="240" w:lineRule="auto"/>
              <w:ind w:left="720" w:hanging="562"/>
              <w:jc w:val="center"/>
              <w:rPr>
                <w:rFonts w:ascii="Tahoma" w:hAnsi="Tahoma" w:cs="Tahoma"/>
                <w:b/>
                <w:bCs/>
                <w:sz w:val="16"/>
                <w:szCs w:val="16"/>
              </w:rPr>
            </w:pPr>
            <w:r w:rsidRPr="00267357">
              <w:rPr>
                <w:rFonts w:ascii="Tahoma" w:hAnsi="Tahoma" w:cs="Tahoma"/>
                <w:b/>
                <w:bCs/>
                <w:sz w:val="16"/>
                <w:szCs w:val="16"/>
              </w:rPr>
              <w:t>Arroz</w:t>
            </w:r>
          </w:p>
        </w:tc>
        <w:tc>
          <w:tcPr>
            <w:tcW w:w="1011"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182 kg</w:t>
            </w:r>
          </w:p>
        </w:tc>
        <w:tc>
          <w:tcPr>
            <w:tcW w:w="982"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289 Kg</w:t>
            </w:r>
          </w:p>
        </w:tc>
        <w:tc>
          <w:tcPr>
            <w:tcW w:w="851"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282</w:t>
            </w:r>
          </w:p>
        </w:tc>
        <w:tc>
          <w:tcPr>
            <w:tcW w:w="983"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753</w:t>
            </w:r>
          </w:p>
        </w:tc>
      </w:tr>
      <w:tr w:rsidR="00A00207" w:rsidRPr="00EC23BB" w:rsidTr="00267357">
        <w:trPr>
          <w:trHeight w:val="284"/>
        </w:trPr>
        <w:tc>
          <w:tcPr>
            <w:tcW w:w="1276" w:type="dxa"/>
            <w:vAlign w:val="center"/>
          </w:tcPr>
          <w:p w:rsidR="00A00207" w:rsidRPr="00267357" w:rsidRDefault="00A00207" w:rsidP="000A3341">
            <w:pPr>
              <w:spacing w:line="240" w:lineRule="auto"/>
              <w:ind w:left="158"/>
              <w:jc w:val="center"/>
              <w:rPr>
                <w:rFonts w:ascii="Tahoma" w:hAnsi="Tahoma" w:cs="Tahoma"/>
                <w:b/>
                <w:bCs/>
                <w:sz w:val="16"/>
                <w:szCs w:val="16"/>
              </w:rPr>
            </w:pPr>
            <w:r w:rsidRPr="00267357">
              <w:rPr>
                <w:rFonts w:ascii="Tahoma" w:hAnsi="Tahoma" w:cs="Tahoma"/>
                <w:b/>
                <w:bCs/>
                <w:sz w:val="16"/>
                <w:szCs w:val="16"/>
              </w:rPr>
              <w:t>Azúcar</w:t>
            </w:r>
          </w:p>
        </w:tc>
        <w:tc>
          <w:tcPr>
            <w:tcW w:w="1011"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79 Kg</w:t>
            </w:r>
          </w:p>
        </w:tc>
        <w:tc>
          <w:tcPr>
            <w:tcW w:w="982"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50 Kg</w:t>
            </w:r>
          </w:p>
        </w:tc>
        <w:tc>
          <w:tcPr>
            <w:tcW w:w="851"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125</w:t>
            </w:r>
          </w:p>
        </w:tc>
        <w:tc>
          <w:tcPr>
            <w:tcW w:w="983"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254</w:t>
            </w:r>
          </w:p>
        </w:tc>
      </w:tr>
      <w:tr w:rsidR="00A00207" w:rsidRPr="00EC23BB" w:rsidTr="00267357">
        <w:trPr>
          <w:trHeight w:val="583"/>
        </w:trPr>
        <w:tc>
          <w:tcPr>
            <w:tcW w:w="1276" w:type="dxa"/>
            <w:vAlign w:val="center"/>
          </w:tcPr>
          <w:p w:rsidR="00A00207" w:rsidRPr="00267357" w:rsidRDefault="00A00207" w:rsidP="000A3341">
            <w:pPr>
              <w:spacing w:line="240" w:lineRule="auto"/>
              <w:ind w:left="720"/>
              <w:jc w:val="center"/>
              <w:rPr>
                <w:rFonts w:ascii="Tahoma" w:hAnsi="Tahoma" w:cs="Tahoma"/>
                <w:b/>
                <w:bCs/>
                <w:sz w:val="16"/>
                <w:szCs w:val="16"/>
              </w:rPr>
            </w:pPr>
          </w:p>
          <w:p w:rsidR="00A00207" w:rsidRPr="00267357" w:rsidRDefault="00A00207" w:rsidP="000A3341">
            <w:pPr>
              <w:spacing w:line="240" w:lineRule="auto"/>
              <w:ind w:left="720" w:hanging="562"/>
              <w:jc w:val="center"/>
              <w:rPr>
                <w:rFonts w:ascii="Tahoma" w:hAnsi="Tahoma" w:cs="Tahoma"/>
                <w:b/>
                <w:bCs/>
                <w:sz w:val="16"/>
                <w:szCs w:val="16"/>
              </w:rPr>
            </w:pPr>
            <w:r w:rsidRPr="00267357">
              <w:rPr>
                <w:rFonts w:ascii="Tahoma" w:hAnsi="Tahoma" w:cs="Tahoma"/>
                <w:b/>
                <w:bCs/>
                <w:sz w:val="16"/>
                <w:szCs w:val="16"/>
              </w:rPr>
              <w:t>Frijol</w:t>
            </w:r>
          </w:p>
        </w:tc>
        <w:tc>
          <w:tcPr>
            <w:tcW w:w="1011"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19.50 Kg</w:t>
            </w:r>
          </w:p>
        </w:tc>
        <w:tc>
          <w:tcPr>
            <w:tcW w:w="982"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19.50 kg</w:t>
            </w:r>
          </w:p>
        </w:tc>
        <w:tc>
          <w:tcPr>
            <w:tcW w:w="851"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19.50</w:t>
            </w:r>
          </w:p>
        </w:tc>
        <w:tc>
          <w:tcPr>
            <w:tcW w:w="983" w:type="dxa"/>
            <w:vAlign w:val="center"/>
          </w:tcPr>
          <w:p w:rsidR="00A00207" w:rsidRPr="00267357" w:rsidRDefault="00A00207" w:rsidP="000A3341">
            <w:pPr>
              <w:spacing w:line="240" w:lineRule="auto"/>
              <w:jc w:val="center"/>
              <w:rPr>
                <w:rFonts w:ascii="Tahoma" w:hAnsi="Tahoma" w:cs="Tahoma"/>
                <w:sz w:val="16"/>
                <w:szCs w:val="16"/>
              </w:rPr>
            </w:pPr>
            <w:r w:rsidRPr="00267357">
              <w:rPr>
                <w:rFonts w:ascii="Tahoma" w:hAnsi="Tahoma" w:cs="Tahoma"/>
                <w:sz w:val="16"/>
                <w:szCs w:val="16"/>
              </w:rPr>
              <w:t>58.50</w:t>
            </w:r>
          </w:p>
        </w:tc>
      </w:tr>
    </w:tbl>
    <w:p w:rsidR="00A00207" w:rsidRPr="00EC23BB" w:rsidRDefault="00A00207" w:rsidP="000A3341">
      <w:pPr>
        <w:pStyle w:val="Prrafodelista"/>
        <w:rPr>
          <w:rFonts w:ascii="Tahoma" w:hAnsi="Tahoma" w:cs="Tahoma"/>
          <w:sz w:val="20"/>
        </w:rPr>
      </w:pPr>
    </w:p>
    <w:p w:rsidR="00507A71" w:rsidRDefault="00A00207" w:rsidP="00507A7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El referido incumplimiento ha sido reconocido por el Contratista en la Carta Notarial de fecha 26 de mayo de 2008</w:t>
      </w:r>
      <w:r w:rsidRPr="00EC23BB">
        <w:rPr>
          <w:rStyle w:val="Refdenotaalpie"/>
          <w:rFonts w:ascii="Tahoma" w:hAnsi="Tahoma" w:cs="Tahoma"/>
          <w:sz w:val="20"/>
          <w:szCs w:val="20"/>
        </w:rPr>
        <w:footnoteReference w:id="3"/>
      </w:r>
      <w:r w:rsidRPr="00EC23BB">
        <w:rPr>
          <w:rFonts w:ascii="Tahoma" w:hAnsi="Tahoma" w:cs="Tahoma"/>
          <w:sz w:val="20"/>
          <w:szCs w:val="20"/>
        </w:rPr>
        <w:t>, en la que admitió la existencia de faltantes en los meses de febrero, marzo y abril; y que, respecto al aceite se había entregado una mayor cantidad a la correspondiente. También señaló que no se contaba a tiempo con las órdenes de compra.</w:t>
      </w:r>
    </w:p>
    <w:p w:rsidR="00507A71" w:rsidRDefault="00507A71" w:rsidP="00507A71">
      <w:pPr>
        <w:spacing w:after="0" w:line="240" w:lineRule="auto"/>
        <w:ind w:left="720"/>
        <w:jc w:val="both"/>
        <w:rPr>
          <w:rFonts w:ascii="Tahoma" w:hAnsi="Tahoma" w:cs="Tahoma"/>
          <w:sz w:val="20"/>
          <w:szCs w:val="20"/>
        </w:rPr>
      </w:pPr>
    </w:p>
    <w:p w:rsidR="00A00207" w:rsidRPr="00507A71" w:rsidRDefault="00A00207" w:rsidP="00507A71">
      <w:pPr>
        <w:spacing w:after="0" w:line="240" w:lineRule="auto"/>
        <w:ind w:left="720"/>
        <w:jc w:val="both"/>
        <w:rPr>
          <w:rFonts w:ascii="Tahoma" w:hAnsi="Tahoma" w:cs="Tahoma"/>
          <w:sz w:val="20"/>
          <w:szCs w:val="20"/>
        </w:rPr>
      </w:pPr>
      <w:r w:rsidRPr="00507A71">
        <w:rPr>
          <w:rFonts w:ascii="Tahoma" w:hAnsi="Tahoma" w:cs="Tahoma"/>
          <w:sz w:val="20"/>
          <w:szCs w:val="20"/>
        </w:rPr>
        <w:t>Asimismo, el contratista indicó que se había suministrado productos de febrero a abril por un monto de S/. 5, 888.40 nuevos soles, mas lo entregado en mayo que ascendía a S/. 1 256.02, sin considerar las cantidades de aceite entregadas en  exceso de enero a mayo. De todas estas prestaciones sólo se canceló S/. 2, 806.00 nuevos soles, adeudándose S/. 1,906.00 nuevos soles por la atención de arroz y azúcar, correspondiente a los meses de noviembre y diciembre de 2007, ya que el proceso de compra estaba retrasado por problema de huelga del poder judicial, monto que podría deducirse de lo no entregado.</w:t>
      </w:r>
    </w:p>
    <w:p w:rsidR="00507A71" w:rsidRDefault="00507A71" w:rsidP="00507A7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Al respecto,  del análisis al cuadro que se transcribe, se evidencia que efectivamente el Contratista entregó una mayor cantidad de aceite vegetal en  los meses de abril, mayo y julio, sin embargo, esto no exime su responsabilidad en la entrega de arroz, frijol y azúcar rubia, correspondientes a los ítems 1, 2 y 3, productos que formaban parte de las órdenes de compra emitidas a nombre del Contratista, pues si bien es cierto, como se indicó en el numeral anterior, se ha cumplido con la entrega parcial de bienes, esto no satisface los intereses de la Entidad.</w:t>
      </w:r>
    </w:p>
    <w:p w:rsidR="00A00207" w:rsidRPr="00EC23BB" w:rsidRDefault="00A00207" w:rsidP="000A3341">
      <w:pPr>
        <w:pStyle w:val="Prrafodelista"/>
        <w:rPr>
          <w:rFonts w:ascii="Tahoma" w:hAnsi="Tahoma" w:cs="Tahoma"/>
          <w:sz w:val="20"/>
        </w:rPr>
      </w:pPr>
    </w:p>
    <w:tbl>
      <w:tblPr>
        <w:tblW w:w="7371" w:type="dxa"/>
        <w:tblInd w:w="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76"/>
        <w:gridCol w:w="850"/>
        <w:gridCol w:w="567"/>
        <w:gridCol w:w="851"/>
        <w:gridCol w:w="567"/>
        <w:gridCol w:w="992"/>
        <w:gridCol w:w="567"/>
        <w:gridCol w:w="992"/>
        <w:gridCol w:w="709"/>
      </w:tblGrid>
      <w:tr w:rsidR="00A00207" w:rsidRPr="00EC23BB" w:rsidTr="00973730">
        <w:trPr>
          <w:trHeight w:val="256"/>
        </w:trPr>
        <w:tc>
          <w:tcPr>
            <w:tcW w:w="1276" w:type="dxa"/>
            <w:vAlign w:val="center"/>
          </w:tcPr>
          <w:p w:rsidR="00A00207" w:rsidRPr="000A3341" w:rsidRDefault="00A00207" w:rsidP="000A3341">
            <w:pPr>
              <w:spacing w:line="240" w:lineRule="auto"/>
              <w:ind w:left="158"/>
              <w:jc w:val="center"/>
              <w:rPr>
                <w:rFonts w:ascii="Tahoma" w:hAnsi="Tahoma" w:cs="Tahoma"/>
                <w:b/>
                <w:bCs/>
                <w:sz w:val="16"/>
                <w:szCs w:val="16"/>
              </w:rPr>
            </w:pPr>
            <w:r w:rsidRPr="000A3341">
              <w:rPr>
                <w:rFonts w:ascii="Tahoma" w:hAnsi="Tahoma" w:cs="Tahoma"/>
                <w:b/>
                <w:bCs/>
                <w:sz w:val="16"/>
                <w:szCs w:val="16"/>
              </w:rPr>
              <w:t>Descripción</w:t>
            </w:r>
          </w:p>
        </w:tc>
        <w:tc>
          <w:tcPr>
            <w:tcW w:w="850" w:type="dxa"/>
            <w:vAlign w:val="center"/>
          </w:tcPr>
          <w:p w:rsidR="00A00207" w:rsidRPr="000A3341" w:rsidRDefault="00A00207" w:rsidP="000A3341">
            <w:pPr>
              <w:spacing w:line="240" w:lineRule="auto"/>
              <w:jc w:val="center"/>
              <w:rPr>
                <w:rFonts w:ascii="Tahoma" w:hAnsi="Tahoma" w:cs="Tahoma"/>
                <w:b/>
                <w:bCs/>
                <w:sz w:val="16"/>
                <w:szCs w:val="16"/>
              </w:rPr>
            </w:pPr>
            <w:r w:rsidRPr="000A3341">
              <w:rPr>
                <w:rFonts w:ascii="Tahoma" w:hAnsi="Tahoma" w:cs="Tahoma"/>
                <w:b/>
                <w:bCs/>
                <w:sz w:val="16"/>
                <w:szCs w:val="16"/>
              </w:rPr>
              <w:t>Ingreso Abril</w:t>
            </w:r>
          </w:p>
        </w:tc>
        <w:tc>
          <w:tcPr>
            <w:tcW w:w="567" w:type="dxa"/>
            <w:vAlign w:val="center"/>
          </w:tcPr>
          <w:p w:rsidR="00A00207" w:rsidRPr="000A3341" w:rsidRDefault="00A00207" w:rsidP="000A3341">
            <w:pPr>
              <w:spacing w:line="240" w:lineRule="auto"/>
              <w:jc w:val="center"/>
              <w:rPr>
                <w:rFonts w:ascii="Tahoma" w:hAnsi="Tahoma" w:cs="Tahoma"/>
                <w:b/>
                <w:bCs/>
                <w:sz w:val="16"/>
                <w:szCs w:val="16"/>
              </w:rPr>
            </w:pPr>
            <w:r w:rsidRPr="000A3341">
              <w:rPr>
                <w:rFonts w:ascii="Tahoma" w:hAnsi="Tahoma" w:cs="Tahoma"/>
                <w:b/>
                <w:bCs/>
                <w:sz w:val="16"/>
                <w:szCs w:val="16"/>
              </w:rPr>
              <w:t>Falta</w:t>
            </w:r>
          </w:p>
        </w:tc>
        <w:tc>
          <w:tcPr>
            <w:tcW w:w="851" w:type="dxa"/>
            <w:vAlign w:val="center"/>
          </w:tcPr>
          <w:p w:rsidR="00A00207" w:rsidRPr="000A3341" w:rsidRDefault="00A00207" w:rsidP="000A3341">
            <w:pPr>
              <w:spacing w:line="240" w:lineRule="auto"/>
              <w:jc w:val="center"/>
              <w:rPr>
                <w:rFonts w:ascii="Tahoma" w:hAnsi="Tahoma" w:cs="Tahoma"/>
                <w:b/>
                <w:bCs/>
                <w:sz w:val="16"/>
                <w:szCs w:val="16"/>
              </w:rPr>
            </w:pPr>
            <w:r w:rsidRPr="000A3341">
              <w:rPr>
                <w:rFonts w:ascii="Tahoma" w:hAnsi="Tahoma" w:cs="Tahoma"/>
                <w:b/>
                <w:bCs/>
                <w:sz w:val="16"/>
                <w:szCs w:val="16"/>
              </w:rPr>
              <w:t>Ingreso Mayo</w:t>
            </w:r>
          </w:p>
        </w:tc>
        <w:tc>
          <w:tcPr>
            <w:tcW w:w="567" w:type="dxa"/>
            <w:vAlign w:val="center"/>
          </w:tcPr>
          <w:p w:rsidR="00A00207" w:rsidRPr="000A3341" w:rsidRDefault="00A00207" w:rsidP="000A3341">
            <w:pPr>
              <w:spacing w:line="240" w:lineRule="auto"/>
              <w:jc w:val="center"/>
              <w:rPr>
                <w:rFonts w:ascii="Tahoma" w:hAnsi="Tahoma" w:cs="Tahoma"/>
                <w:b/>
                <w:bCs/>
                <w:sz w:val="16"/>
                <w:szCs w:val="16"/>
              </w:rPr>
            </w:pPr>
            <w:r w:rsidRPr="000A3341">
              <w:rPr>
                <w:rFonts w:ascii="Tahoma" w:hAnsi="Tahoma" w:cs="Tahoma"/>
                <w:b/>
                <w:bCs/>
                <w:sz w:val="16"/>
                <w:szCs w:val="16"/>
              </w:rPr>
              <w:t>Falta</w:t>
            </w:r>
          </w:p>
        </w:tc>
        <w:tc>
          <w:tcPr>
            <w:tcW w:w="992" w:type="dxa"/>
            <w:vAlign w:val="center"/>
          </w:tcPr>
          <w:p w:rsidR="00A00207" w:rsidRPr="000A3341" w:rsidRDefault="00A00207" w:rsidP="000A3341">
            <w:pPr>
              <w:spacing w:line="240" w:lineRule="auto"/>
              <w:jc w:val="center"/>
              <w:rPr>
                <w:rFonts w:ascii="Tahoma" w:hAnsi="Tahoma" w:cs="Tahoma"/>
                <w:b/>
                <w:bCs/>
                <w:sz w:val="16"/>
                <w:szCs w:val="16"/>
              </w:rPr>
            </w:pPr>
            <w:r w:rsidRPr="000A3341">
              <w:rPr>
                <w:rFonts w:ascii="Tahoma" w:hAnsi="Tahoma" w:cs="Tahoma"/>
                <w:b/>
                <w:bCs/>
                <w:sz w:val="16"/>
                <w:szCs w:val="16"/>
              </w:rPr>
              <w:t>Ingreso Junio</w:t>
            </w:r>
          </w:p>
        </w:tc>
        <w:tc>
          <w:tcPr>
            <w:tcW w:w="567" w:type="dxa"/>
            <w:vAlign w:val="center"/>
          </w:tcPr>
          <w:p w:rsidR="00A00207" w:rsidRPr="000A3341" w:rsidRDefault="00A00207" w:rsidP="000A3341">
            <w:pPr>
              <w:spacing w:line="240" w:lineRule="auto"/>
              <w:jc w:val="center"/>
              <w:rPr>
                <w:rFonts w:ascii="Tahoma" w:hAnsi="Tahoma" w:cs="Tahoma"/>
                <w:b/>
                <w:bCs/>
                <w:sz w:val="16"/>
                <w:szCs w:val="16"/>
              </w:rPr>
            </w:pPr>
            <w:r w:rsidRPr="000A3341">
              <w:rPr>
                <w:rFonts w:ascii="Tahoma" w:hAnsi="Tahoma" w:cs="Tahoma"/>
                <w:b/>
                <w:bCs/>
                <w:sz w:val="16"/>
                <w:szCs w:val="16"/>
              </w:rPr>
              <w:t>Falta</w:t>
            </w:r>
          </w:p>
        </w:tc>
        <w:tc>
          <w:tcPr>
            <w:tcW w:w="992" w:type="dxa"/>
            <w:vAlign w:val="center"/>
          </w:tcPr>
          <w:p w:rsidR="00A00207" w:rsidRPr="000A3341" w:rsidRDefault="00A00207" w:rsidP="000A3341">
            <w:pPr>
              <w:spacing w:line="240" w:lineRule="auto"/>
              <w:jc w:val="center"/>
              <w:rPr>
                <w:rFonts w:ascii="Tahoma" w:hAnsi="Tahoma" w:cs="Tahoma"/>
                <w:b/>
                <w:bCs/>
                <w:sz w:val="16"/>
                <w:szCs w:val="16"/>
              </w:rPr>
            </w:pPr>
            <w:r w:rsidRPr="000A3341">
              <w:rPr>
                <w:rFonts w:ascii="Tahoma" w:hAnsi="Tahoma" w:cs="Tahoma"/>
                <w:b/>
                <w:bCs/>
                <w:sz w:val="16"/>
                <w:szCs w:val="16"/>
              </w:rPr>
              <w:t>Ingreso Julio</w:t>
            </w:r>
          </w:p>
        </w:tc>
        <w:tc>
          <w:tcPr>
            <w:tcW w:w="709" w:type="dxa"/>
            <w:vAlign w:val="center"/>
          </w:tcPr>
          <w:p w:rsidR="00A00207" w:rsidRPr="000A3341" w:rsidRDefault="00A00207" w:rsidP="000A3341">
            <w:pPr>
              <w:spacing w:line="240" w:lineRule="auto"/>
              <w:jc w:val="center"/>
              <w:rPr>
                <w:rFonts w:ascii="Tahoma" w:hAnsi="Tahoma" w:cs="Tahoma"/>
                <w:b/>
                <w:bCs/>
                <w:sz w:val="16"/>
                <w:szCs w:val="16"/>
              </w:rPr>
            </w:pPr>
            <w:r w:rsidRPr="000A3341">
              <w:rPr>
                <w:rFonts w:ascii="Tahoma" w:hAnsi="Tahoma" w:cs="Tahoma"/>
                <w:b/>
                <w:bCs/>
                <w:sz w:val="16"/>
                <w:szCs w:val="16"/>
              </w:rPr>
              <w:t>Falta</w:t>
            </w:r>
          </w:p>
        </w:tc>
      </w:tr>
      <w:tr w:rsidR="00A00207" w:rsidRPr="00EC23BB" w:rsidTr="00973730">
        <w:trPr>
          <w:trHeight w:val="436"/>
        </w:trPr>
        <w:tc>
          <w:tcPr>
            <w:tcW w:w="1276" w:type="dxa"/>
            <w:vAlign w:val="center"/>
          </w:tcPr>
          <w:p w:rsidR="00A00207" w:rsidRPr="000A3341" w:rsidRDefault="00A00207" w:rsidP="000A3341">
            <w:pPr>
              <w:spacing w:line="240" w:lineRule="auto"/>
              <w:ind w:left="720" w:hanging="420"/>
              <w:jc w:val="center"/>
              <w:rPr>
                <w:rFonts w:ascii="Tahoma" w:hAnsi="Tahoma" w:cs="Tahoma"/>
                <w:b/>
                <w:bCs/>
                <w:sz w:val="16"/>
                <w:szCs w:val="16"/>
              </w:rPr>
            </w:pPr>
          </w:p>
          <w:p w:rsidR="00A00207" w:rsidRPr="000A3341" w:rsidRDefault="00A00207" w:rsidP="000A3341">
            <w:pPr>
              <w:spacing w:line="240" w:lineRule="auto"/>
              <w:ind w:left="158" w:hanging="142"/>
              <w:jc w:val="center"/>
              <w:rPr>
                <w:rFonts w:ascii="Tahoma" w:hAnsi="Tahoma" w:cs="Tahoma"/>
                <w:b/>
                <w:bCs/>
                <w:sz w:val="16"/>
                <w:szCs w:val="16"/>
              </w:rPr>
            </w:pPr>
            <w:r w:rsidRPr="000A3341">
              <w:rPr>
                <w:rFonts w:ascii="Tahoma" w:hAnsi="Tahoma" w:cs="Tahoma"/>
                <w:b/>
                <w:bCs/>
                <w:sz w:val="16"/>
                <w:szCs w:val="16"/>
              </w:rPr>
              <w:t>Arroz Grado 2</w:t>
            </w:r>
          </w:p>
        </w:tc>
        <w:tc>
          <w:tcPr>
            <w:tcW w:w="850"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518</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282</w:t>
            </w:r>
          </w:p>
        </w:tc>
        <w:tc>
          <w:tcPr>
            <w:tcW w:w="851"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370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430</w:t>
            </w:r>
          </w:p>
        </w:tc>
        <w:tc>
          <w:tcPr>
            <w:tcW w:w="992"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296</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504</w:t>
            </w:r>
          </w:p>
        </w:tc>
        <w:tc>
          <w:tcPr>
            <w:tcW w:w="992"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568</w:t>
            </w:r>
          </w:p>
        </w:tc>
        <w:tc>
          <w:tcPr>
            <w:tcW w:w="709"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232</w:t>
            </w:r>
          </w:p>
        </w:tc>
      </w:tr>
      <w:tr w:rsidR="00A00207" w:rsidRPr="00EC23BB" w:rsidTr="00973730">
        <w:trPr>
          <w:trHeight w:val="284"/>
        </w:trPr>
        <w:tc>
          <w:tcPr>
            <w:tcW w:w="1276" w:type="dxa"/>
            <w:vAlign w:val="center"/>
          </w:tcPr>
          <w:p w:rsidR="00A00207" w:rsidRPr="000A3341" w:rsidRDefault="00A00207" w:rsidP="000A3341">
            <w:pPr>
              <w:spacing w:line="240" w:lineRule="auto"/>
              <w:ind w:left="158" w:hanging="86"/>
              <w:jc w:val="center"/>
              <w:rPr>
                <w:rFonts w:ascii="Tahoma" w:hAnsi="Tahoma" w:cs="Tahoma"/>
                <w:b/>
                <w:bCs/>
                <w:sz w:val="16"/>
                <w:szCs w:val="16"/>
              </w:rPr>
            </w:pPr>
            <w:r w:rsidRPr="000A3341">
              <w:rPr>
                <w:rFonts w:ascii="Tahoma" w:hAnsi="Tahoma" w:cs="Tahoma"/>
                <w:b/>
                <w:bCs/>
                <w:sz w:val="16"/>
                <w:szCs w:val="16"/>
              </w:rPr>
              <w:t>Frijol bayo grado 2</w:t>
            </w:r>
          </w:p>
        </w:tc>
        <w:tc>
          <w:tcPr>
            <w:tcW w:w="850"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0.00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19.50</w:t>
            </w:r>
          </w:p>
        </w:tc>
        <w:tc>
          <w:tcPr>
            <w:tcW w:w="851"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0.00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19.50</w:t>
            </w:r>
          </w:p>
        </w:tc>
        <w:tc>
          <w:tcPr>
            <w:tcW w:w="992"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0.00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19.50</w:t>
            </w:r>
          </w:p>
        </w:tc>
        <w:tc>
          <w:tcPr>
            <w:tcW w:w="992"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0.00</w:t>
            </w:r>
          </w:p>
        </w:tc>
        <w:tc>
          <w:tcPr>
            <w:tcW w:w="709"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19.50</w:t>
            </w:r>
          </w:p>
        </w:tc>
      </w:tr>
      <w:tr w:rsidR="00A00207" w:rsidRPr="00EC23BB" w:rsidTr="00973730">
        <w:trPr>
          <w:trHeight w:val="172"/>
        </w:trPr>
        <w:tc>
          <w:tcPr>
            <w:tcW w:w="1276" w:type="dxa"/>
            <w:vAlign w:val="center"/>
          </w:tcPr>
          <w:p w:rsidR="00A00207" w:rsidRPr="000A3341" w:rsidRDefault="00A00207" w:rsidP="000A3341">
            <w:pPr>
              <w:spacing w:line="240" w:lineRule="auto"/>
              <w:ind w:left="720" w:hanging="420"/>
              <w:jc w:val="center"/>
              <w:rPr>
                <w:rFonts w:ascii="Tahoma" w:hAnsi="Tahoma" w:cs="Tahoma"/>
                <w:b/>
                <w:bCs/>
                <w:sz w:val="16"/>
                <w:szCs w:val="16"/>
              </w:rPr>
            </w:pPr>
          </w:p>
          <w:p w:rsidR="00A00207" w:rsidRPr="000A3341" w:rsidRDefault="00A00207" w:rsidP="000A3341">
            <w:pPr>
              <w:spacing w:line="240" w:lineRule="auto"/>
              <w:ind w:left="720" w:hanging="648"/>
              <w:rPr>
                <w:rFonts w:ascii="Tahoma" w:hAnsi="Tahoma" w:cs="Tahoma"/>
                <w:b/>
                <w:bCs/>
                <w:sz w:val="16"/>
                <w:szCs w:val="16"/>
              </w:rPr>
            </w:pPr>
            <w:r w:rsidRPr="000A3341">
              <w:rPr>
                <w:rFonts w:ascii="Tahoma" w:hAnsi="Tahoma" w:cs="Tahoma"/>
                <w:b/>
                <w:bCs/>
                <w:sz w:val="16"/>
                <w:szCs w:val="16"/>
              </w:rPr>
              <w:lastRenderedPageBreak/>
              <w:t>Azúcar rubia</w:t>
            </w:r>
          </w:p>
        </w:tc>
        <w:tc>
          <w:tcPr>
            <w:tcW w:w="850"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lastRenderedPageBreak/>
              <w:t>275</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75.00</w:t>
            </w:r>
          </w:p>
        </w:tc>
        <w:tc>
          <w:tcPr>
            <w:tcW w:w="851" w:type="dxa"/>
            <w:vAlign w:val="center"/>
          </w:tcPr>
          <w:p w:rsidR="00A00207" w:rsidRPr="000A3341" w:rsidRDefault="00A00207" w:rsidP="000A3341">
            <w:pPr>
              <w:spacing w:line="240" w:lineRule="auto"/>
              <w:rPr>
                <w:rFonts w:ascii="Tahoma" w:hAnsi="Tahoma" w:cs="Tahoma"/>
                <w:sz w:val="16"/>
                <w:szCs w:val="16"/>
              </w:rPr>
            </w:pPr>
            <w:r w:rsidRPr="000A3341">
              <w:rPr>
                <w:rFonts w:ascii="Tahoma" w:hAnsi="Tahoma" w:cs="Tahoma"/>
                <w:sz w:val="16"/>
                <w:szCs w:val="16"/>
              </w:rPr>
              <w:t xml:space="preserve">      200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150</w:t>
            </w:r>
          </w:p>
        </w:tc>
        <w:tc>
          <w:tcPr>
            <w:tcW w:w="992"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150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200</w:t>
            </w:r>
          </w:p>
        </w:tc>
        <w:tc>
          <w:tcPr>
            <w:tcW w:w="992"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400</w:t>
            </w:r>
          </w:p>
        </w:tc>
        <w:tc>
          <w:tcPr>
            <w:tcW w:w="709"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+50</w:t>
            </w:r>
          </w:p>
        </w:tc>
      </w:tr>
      <w:tr w:rsidR="00A00207" w:rsidRPr="00EC23BB" w:rsidTr="00973730">
        <w:trPr>
          <w:trHeight w:val="172"/>
        </w:trPr>
        <w:tc>
          <w:tcPr>
            <w:tcW w:w="1276" w:type="dxa"/>
            <w:vAlign w:val="center"/>
          </w:tcPr>
          <w:p w:rsidR="00A00207" w:rsidRPr="000A3341" w:rsidRDefault="00A00207" w:rsidP="000A3341">
            <w:pPr>
              <w:spacing w:line="240" w:lineRule="auto"/>
              <w:ind w:left="497" w:hanging="425"/>
              <w:jc w:val="center"/>
              <w:rPr>
                <w:rFonts w:ascii="Tahoma" w:hAnsi="Tahoma" w:cs="Tahoma"/>
                <w:b/>
                <w:bCs/>
                <w:sz w:val="16"/>
                <w:szCs w:val="16"/>
              </w:rPr>
            </w:pPr>
            <w:r w:rsidRPr="000A3341">
              <w:rPr>
                <w:rFonts w:ascii="Tahoma" w:hAnsi="Tahoma" w:cs="Tahoma"/>
                <w:b/>
                <w:bCs/>
                <w:sz w:val="16"/>
                <w:szCs w:val="16"/>
              </w:rPr>
              <w:lastRenderedPageBreak/>
              <w:t>Aceite 100% vegetal</w:t>
            </w:r>
          </w:p>
        </w:tc>
        <w:tc>
          <w:tcPr>
            <w:tcW w:w="850"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52.00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+11</w:t>
            </w:r>
          </w:p>
        </w:tc>
        <w:tc>
          <w:tcPr>
            <w:tcW w:w="851"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46.00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+5</w:t>
            </w:r>
          </w:p>
        </w:tc>
        <w:tc>
          <w:tcPr>
            <w:tcW w:w="992"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5.00</w:t>
            </w:r>
          </w:p>
        </w:tc>
        <w:tc>
          <w:tcPr>
            <w:tcW w:w="567"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36</w:t>
            </w:r>
          </w:p>
        </w:tc>
        <w:tc>
          <w:tcPr>
            <w:tcW w:w="992" w:type="dxa"/>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56</w:t>
            </w:r>
          </w:p>
        </w:tc>
        <w:tc>
          <w:tcPr>
            <w:tcW w:w="709" w:type="dxa"/>
            <w:shd w:val="clear" w:color="auto" w:fill="BFBFBF"/>
            <w:vAlign w:val="center"/>
          </w:tcPr>
          <w:p w:rsidR="00A00207" w:rsidRPr="000A3341" w:rsidRDefault="00A00207" w:rsidP="000A3341">
            <w:pPr>
              <w:spacing w:line="240" w:lineRule="auto"/>
              <w:jc w:val="center"/>
              <w:rPr>
                <w:rFonts w:ascii="Tahoma" w:hAnsi="Tahoma" w:cs="Tahoma"/>
                <w:sz w:val="16"/>
                <w:szCs w:val="16"/>
              </w:rPr>
            </w:pPr>
            <w:r w:rsidRPr="000A3341">
              <w:rPr>
                <w:rFonts w:ascii="Tahoma" w:hAnsi="Tahoma" w:cs="Tahoma"/>
                <w:sz w:val="16"/>
                <w:szCs w:val="16"/>
              </w:rPr>
              <w:t>+15</w:t>
            </w:r>
          </w:p>
        </w:tc>
      </w:tr>
    </w:tbl>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Asimismo, el Contratista indicó que las órdenes de compra fueron emitidas tardíamente, sin embargo, este hecho tampoco lo exime de la entrega de los productos, pues según lo ofertado en su propuesta técnica, se comprometió a entregar los bienes en un día desde la recepción de la orden correspondiente, lo cual no ha ocurrido durante la ejecución contractual, pues si bien existió demora en la emisión de las órdenes de compra, estas nos fueron cumplidas en su integridad.</w:t>
      </w:r>
    </w:p>
    <w:p w:rsidR="000A3341" w:rsidRDefault="000A3341" w:rsidP="000A3341">
      <w:pPr>
        <w:spacing w:after="0" w:line="240" w:lineRule="auto"/>
        <w:ind w:left="720"/>
        <w:jc w:val="both"/>
        <w:rPr>
          <w:rFonts w:ascii="Tahoma" w:hAnsi="Tahoma" w:cs="Tahoma"/>
          <w:sz w:val="20"/>
          <w:szCs w:val="20"/>
        </w:rPr>
      </w:pPr>
    </w:p>
    <w:p w:rsidR="000A3341" w:rsidRDefault="00A00207" w:rsidP="00916E37">
      <w:pPr>
        <w:spacing w:after="0" w:line="240" w:lineRule="auto"/>
        <w:ind w:left="720"/>
        <w:jc w:val="both"/>
        <w:rPr>
          <w:rFonts w:ascii="Tahoma" w:hAnsi="Tahoma" w:cs="Tahoma"/>
          <w:sz w:val="20"/>
          <w:szCs w:val="20"/>
        </w:rPr>
      </w:pPr>
      <w:r w:rsidRPr="00EC23BB">
        <w:rPr>
          <w:rFonts w:ascii="Tahoma" w:hAnsi="Tahoma" w:cs="Tahoma"/>
          <w:sz w:val="20"/>
          <w:szCs w:val="20"/>
        </w:rPr>
        <w:t>Por otro lado, en relación al argumento referido a la deuda por parte de la Entidad correspondiente a los meses de febrero a mayo, debe precisarse que con Carta Nº 081-2008/AD-C.J.M. G.P-PJ, de fecha 31 de julio de 2008, la Entidad le comunicó al Contratista el Memorando Nº 1502-2008-GCJ-GG/PJ, en el cual se le indicó que no existía ningún retraso respecto del pago de los meses antes descritos, por lo que queda desvirtuado el argumento descrito como justificante para no cumplir con sus obligaciones, toda vez que dicha situación no ha sido acreditada documentalmente con la información obrante en autos.</w:t>
      </w:r>
    </w:p>
    <w:p w:rsidR="000A3341" w:rsidRDefault="000A3341" w:rsidP="000A3341">
      <w:pPr>
        <w:spacing w:after="0" w:line="240" w:lineRule="auto"/>
        <w:ind w:left="720"/>
        <w:jc w:val="both"/>
        <w:rPr>
          <w:rFonts w:ascii="Tahoma" w:hAnsi="Tahoma" w:cs="Tahoma"/>
          <w:sz w:val="20"/>
          <w:szCs w:val="20"/>
        </w:rPr>
      </w:pPr>
    </w:p>
    <w:p w:rsidR="00A00207" w:rsidRPr="000A3341" w:rsidRDefault="00A00207" w:rsidP="000A3341">
      <w:pPr>
        <w:spacing w:after="0" w:line="240" w:lineRule="auto"/>
        <w:ind w:left="720"/>
        <w:jc w:val="both"/>
        <w:rPr>
          <w:rFonts w:ascii="Tahoma" w:hAnsi="Tahoma" w:cs="Tahoma"/>
          <w:sz w:val="20"/>
          <w:szCs w:val="20"/>
        </w:rPr>
      </w:pPr>
      <w:r w:rsidRPr="000A3341">
        <w:rPr>
          <w:rFonts w:ascii="Tahoma" w:hAnsi="Tahoma" w:cs="Tahoma"/>
          <w:sz w:val="20"/>
          <w:szCs w:val="20"/>
        </w:rPr>
        <w:t xml:space="preserve">Adicionalmente, de haber existido tal deuda que impida la realización de las prestaciones a su cargo, el Contratista pudo haber interpuesto ante la Entidad una </w:t>
      </w:r>
      <w:r w:rsidRPr="000A3341">
        <w:rPr>
          <w:rFonts w:ascii="Tahoma" w:hAnsi="Tahoma" w:cs="Tahoma"/>
          <w:i/>
          <w:iCs/>
          <w:sz w:val="20"/>
          <w:szCs w:val="20"/>
        </w:rPr>
        <w:t xml:space="preserve">excepción de cumplimiento, </w:t>
      </w:r>
      <w:r w:rsidRPr="000A3341">
        <w:rPr>
          <w:rFonts w:ascii="Tahoma" w:hAnsi="Tahoma" w:cs="Tahoma"/>
          <w:sz w:val="20"/>
          <w:szCs w:val="20"/>
        </w:rPr>
        <w:t xml:space="preserve">entendida como </w:t>
      </w:r>
      <w:r w:rsidRPr="000A3341">
        <w:rPr>
          <w:rStyle w:val="nw1"/>
          <w:rFonts w:ascii="Tahoma" w:hAnsi="Tahoma" w:cs="Tahoma"/>
          <w:color w:val="000000"/>
          <w:sz w:val="20"/>
          <w:szCs w:val="20"/>
        </w:rPr>
        <w:t>la facultad de que goza la parte de un contrato bilateral para oponerse al reclamo</w:t>
      </w:r>
      <w:r w:rsidRPr="000A3341">
        <w:rPr>
          <w:rFonts w:ascii="Tahoma" w:hAnsi="Tahoma" w:cs="Tahoma"/>
          <w:color w:val="000000"/>
          <w:sz w:val="20"/>
          <w:szCs w:val="20"/>
        </w:rPr>
        <w:t xml:space="preserve"> </w:t>
      </w:r>
      <w:r w:rsidRPr="000A3341">
        <w:rPr>
          <w:rStyle w:val="nw1"/>
          <w:rFonts w:ascii="Tahoma" w:hAnsi="Tahoma" w:cs="Tahoma"/>
          <w:color w:val="000000"/>
          <w:sz w:val="20"/>
          <w:szCs w:val="20"/>
        </w:rPr>
        <w:t>de cumplimiento que le formula la otra parte, cuando esta última no cumplió, a su vez, sus</w:t>
      </w:r>
      <w:r w:rsidRPr="000A3341">
        <w:rPr>
          <w:rFonts w:ascii="Tahoma" w:hAnsi="Tahoma" w:cs="Tahoma"/>
          <w:color w:val="000000"/>
          <w:sz w:val="20"/>
          <w:szCs w:val="20"/>
        </w:rPr>
        <w:t xml:space="preserve"> </w:t>
      </w:r>
      <w:r w:rsidRPr="000A3341">
        <w:rPr>
          <w:rStyle w:val="nw1"/>
          <w:rFonts w:ascii="Tahoma" w:hAnsi="Tahoma" w:cs="Tahoma"/>
          <w:color w:val="000000"/>
          <w:sz w:val="20"/>
          <w:szCs w:val="20"/>
        </w:rPr>
        <w:t>propias obligaciones, controversia que debió haberse resuelto en un arbitraje, a efectos de determinar los supuestos montos adeudados.</w:t>
      </w:r>
    </w:p>
    <w:p w:rsidR="00507A71" w:rsidRDefault="00507A71" w:rsidP="00507A7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En tal sentido, de conformidad a lo descrito, al no adeudarle los  periodos de febrero a  mayo, el contratista debió cumplir a satisfacción de la Entidad con las correspondientes entregas, sin embargo ello no sucedió.</w:t>
      </w:r>
    </w:p>
    <w:p w:rsidR="000A3341" w:rsidRDefault="000A3341" w:rsidP="000A3341">
      <w:pPr>
        <w:spacing w:after="0" w:line="240" w:lineRule="auto"/>
        <w:ind w:left="720"/>
        <w:jc w:val="both"/>
        <w:rPr>
          <w:rFonts w:ascii="Tahoma" w:hAnsi="Tahoma" w:cs="Tahoma"/>
          <w:sz w:val="20"/>
          <w:szCs w:val="20"/>
        </w:rPr>
      </w:pPr>
    </w:p>
    <w:p w:rsidR="000A3341"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 xml:space="preserve">A pesar de los cuestionamientos anteriormente descritos, con carta Nº 046-2008-AVM  de fecha 03 de junio de 2008, el Contratista admitió que adeudaba un faltante de mercadería, y se comprometió a atenderlas íntegramente.  Sin embargo, a pesar del compromiso asumido por el Contratista, el incumplimiento continuó, puesto que con Informe Nº 008-2008-AD-CJ-M-GP-P-PJ, el Administrador del centro juvenil Miguel Grau De Piura, indicó al Director que no se </w:t>
      </w:r>
      <w:r w:rsidR="00507A71" w:rsidRPr="00EC23BB">
        <w:rPr>
          <w:rFonts w:ascii="Tahoma" w:hAnsi="Tahoma" w:cs="Tahoma"/>
          <w:sz w:val="20"/>
          <w:szCs w:val="20"/>
        </w:rPr>
        <w:t>venía</w:t>
      </w:r>
      <w:r w:rsidRPr="00EC23BB">
        <w:rPr>
          <w:rFonts w:ascii="Tahoma" w:hAnsi="Tahoma" w:cs="Tahoma"/>
          <w:sz w:val="20"/>
          <w:szCs w:val="20"/>
        </w:rPr>
        <w:t xml:space="preserve"> cumpliendo con las entregas correspondientes a los meses de febrero, marzo y abril de 2008. </w:t>
      </w:r>
    </w:p>
    <w:p w:rsidR="000A3341" w:rsidRDefault="000A3341" w:rsidP="000A3341">
      <w:pPr>
        <w:pStyle w:val="Prrafodelista"/>
        <w:rPr>
          <w:rFonts w:ascii="Tahoma" w:hAnsi="Tahoma" w:cs="Tahoma"/>
          <w:sz w:val="20"/>
        </w:rPr>
      </w:pPr>
    </w:p>
    <w:p w:rsidR="00A00207" w:rsidRPr="000A3341" w:rsidRDefault="00A00207" w:rsidP="000A3341">
      <w:pPr>
        <w:spacing w:after="0" w:line="240" w:lineRule="auto"/>
        <w:ind w:left="720"/>
        <w:jc w:val="both"/>
        <w:rPr>
          <w:rFonts w:ascii="Tahoma" w:hAnsi="Tahoma" w:cs="Tahoma"/>
          <w:sz w:val="20"/>
          <w:szCs w:val="20"/>
        </w:rPr>
      </w:pPr>
      <w:r w:rsidRPr="000A3341">
        <w:rPr>
          <w:rFonts w:ascii="Tahoma" w:hAnsi="Tahoma" w:cs="Tahoma"/>
          <w:sz w:val="20"/>
          <w:szCs w:val="20"/>
        </w:rPr>
        <w:t>Dicha situación no fue subsanada a pesar del tiempo transcurrido, por ello, con Informe Nº 010-2008-AD-CJ-M-GP-P-PJ de fecha 30 de junio de 2008, el Administrador del centro juvenil Miguel Grau De Piura, indicó nuevamente al Director de dicho centro que el contratista continuaba adeudando los meses de abril, mayo y junio.</w:t>
      </w:r>
    </w:p>
    <w:p w:rsidR="000A3341" w:rsidRDefault="000A3341"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En virtud a la falta de suministro de los bienes, con Carta Nº 086-2008/D.C.J.MG.P-PJ de fecha 06 de agosto de 2008, y notificado el 11 del mismo mes, la Entidad le solicitó al Contratista que cumpla con entregar los productos alimenticios faltantes, correspondientes a los meses de abril, mayo, junio y julio de 2008.</w:t>
      </w:r>
    </w:p>
    <w:p w:rsidR="000A3341" w:rsidRDefault="000A3341"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lastRenderedPageBreak/>
        <w:t>Ante la constante demora e incumplimiento del contratista en suministrar los bienes, con Oficio Nº 2468-2008-SL-GAF-GG/PJ de fecha 25 de agosto de 2008, el Administrador del centro juvenil Miguel Grau De Piura, le solicitó al Director de dicho centro que otorgué la disponibilidad presupuestal para la compra directa de alimentos, debido al incumplimiento acaecido, y por ello se resuelva el vínculo contractual.</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A pesar del requerimiento realizado con Carta Notarial Nº 0107-2008/D-C.J.M.G.PJ en la cual se le otorgó 05 días, el Contratista no cumplió con sus obligaciones, y por ello, con Carta 0111-2008- D-C.J.M.G.PJ, se dispuso resolver el contrato.</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En relación a los hechos cuestionados, el Contratista ha manifestado en sus descargos que  recibió tardíamente las órdenes de compra Nº 900 y 901, sin embargo, no acreditó el cumplimiento de las mismas, sino que alegó la demora en pagos y trabas establecidas por la Entidad.</w:t>
      </w:r>
    </w:p>
    <w:p w:rsidR="00A00207" w:rsidRPr="00EC23BB" w:rsidRDefault="00A00207" w:rsidP="000A3341">
      <w:pPr>
        <w:pStyle w:val="Prrafodelista"/>
        <w:rPr>
          <w:rFonts w:ascii="Tahoma" w:hAnsi="Tahoma" w:cs="Tahoma"/>
          <w:sz w:val="20"/>
        </w:rPr>
      </w:pPr>
    </w:p>
    <w:p w:rsidR="00A00207" w:rsidRPr="00EC23BB" w:rsidRDefault="00A00207" w:rsidP="000A3341">
      <w:pPr>
        <w:spacing w:line="240" w:lineRule="auto"/>
        <w:ind w:left="720"/>
        <w:jc w:val="both"/>
        <w:rPr>
          <w:rFonts w:ascii="Tahoma" w:hAnsi="Tahoma" w:cs="Tahoma"/>
          <w:sz w:val="20"/>
          <w:szCs w:val="20"/>
        </w:rPr>
      </w:pPr>
      <w:r w:rsidRPr="00EC23BB">
        <w:rPr>
          <w:rFonts w:ascii="Tahoma" w:hAnsi="Tahoma" w:cs="Tahoma"/>
          <w:sz w:val="20"/>
          <w:szCs w:val="20"/>
        </w:rPr>
        <w:t>Sobre ello, es de precisar que tal como se indicó en párrafos anteriores, a pesar de haber recibido tardíamente las órdenes de compra, la obligación de suministrar los bienes se mantenía inalterable y por ello, no podía alegar tal demora como justificativo para no satisfacer los intereses de la Entidad. Respecto a las demoras o trabas por parte de la Entidad, estas afirmaciones no han sido acreditadas o corroboradas con algún medio probatorio, por lo que este Colegiado no puede valorar estos hechos como justificantes de responsabilidad.</w:t>
      </w: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 xml:space="preserve">Por otro lado, el Contratista señaló en sus descargos que durante la ejecución contractual los productos  a suministrar habían incrementado su valor, no existiendo por la Entidad una predisposición en mejorar los mismos. </w:t>
      </w:r>
    </w:p>
    <w:p w:rsidR="00A00207" w:rsidRPr="00EC23BB" w:rsidRDefault="00A00207" w:rsidP="000A3341">
      <w:pPr>
        <w:pStyle w:val="Prrafodelista"/>
        <w:rPr>
          <w:rFonts w:ascii="Tahoma" w:hAnsi="Tahoma" w:cs="Tahoma"/>
          <w:sz w:val="20"/>
        </w:rPr>
      </w:pPr>
    </w:p>
    <w:p w:rsidR="00A00207" w:rsidRPr="00EC23BB" w:rsidRDefault="00A00207" w:rsidP="000A3341">
      <w:pPr>
        <w:spacing w:line="240" w:lineRule="auto"/>
        <w:ind w:left="720"/>
        <w:rPr>
          <w:rFonts w:ascii="Tahoma" w:hAnsi="Tahoma" w:cs="Tahoma"/>
          <w:sz w:val="20"/>
          <w:szCs w:val="20"/>
        </w:rPr>
      </w:pPr>
      <w:r w:rsidRPr="00EC23BB">
        <w:rPr>
          <w:rFonts w:ascii="Tahoma" w:hAnsi="Tahoma" w:cs="Tahoma"/>
          <w:sz w:val="20"/>
          <w:szCs w:val="20"/>
        </w:rPr>
        <w:t>Al respecto, debe señalarse que un motivo justificante para el no cumplimiento de las obligaciones contractuales, supone la existencia de un caso fortuito o un hecho de fuerza mayor, de una circunstancia imprevisible que impida el honrar las obligaciones contraídas.</w:t>
      </w:r>
    </w:p>
    <w:p w:rsidR="00A00207" w:rsidRPr="00EC23BB" w:rsidRDefault="00A00207" w:rsidP="000A3341">
      <w:pPr>
        <w:spacing w:line="240" w:lineRule="auto"/>
        <w:ind w:left="720"/>
        <w:jc w:val="both"/>
        <w:rPr>
          <w:rFonts w:ascii="Tahoma" w:hAnsi="Tahoma" w:cs="Tahoma"/>
          <w:sz w:val="20"/>
          <w:szCs w:val="20"/>
        </w:rPr>
      </w:pPr>
      <w:r w:rsidRPr="00EC23BB">
        <w:rPr>
          <w:rFonts w:ascii="Tahoma" w:hAnsi="Tahoma" w:cs="Tahoma"/>
          <w:sz w:val="20"/>
          <w:szCs w:val="20"/>
        </w:rPr>
        <w:t>El contratista alega que uno de los motivos por los cuales no cumplió con sus obligaciones fue el incremento del precio de los  bienes, sin embargo, no ha presentado ningún medio probatorio que acredite dicha alza, a efectos que este colegiado pueda evidenciar los índices variados y la onerosidad en la prestación que esto acarrearía, por tal motivo, no puedo justificarse este hecho como un eximente de responsabilidad, al no contarse con elementos que acrediten tal situación.</w:t>
      </w: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Por las consideraciones expuestas</w:t>
      </w:r>
      <w:r w:rsidRPr="00EC23BB">
        <w:rPr>
          <w:rFonts w:ascii="Tahoma" w:hAnsi="Tahoma" w:cs="Tahoma"/>
          <w:sz w:val="20"/>
          <w:szCs w:val="20"/>
          <w:lang w:val="es-ES_tradnl"/>
        </w:rPr>
        <w:t>, se evidencia que el contratista no cumplió con sus obligaciones correspondientes a los meses de abril, mayo, junio y julio, a pesar de ser requerido para tales fines, y, atendiendo que no obra en autos medio probatorio alguno, relacionado con un caso fortuito o un hecho de fuerza mayor, que justifique la omisión de su cumplimiento, corresponde imponerle sanción administrativa.</w:t>
      </w:r>
    </w:p>
    <w:p w:rsidR="000A3341" w:rsidRPr="000A3341" w:rsidRDefault="000A3341" w:rsidP="000A3341">
      <w:pPr>
        <w:spacing w:after="0" w:line="240" w:lineRule="auto"/>
        <w:ind w:left="720"/>
        <w:jc w:val="both"/>
        <w:rPr>
          <w:rFonts w:ascii="Tahoma" w:hAnsi="Tahoma" w:cs="Tahoma"/>
          <w:sz w:val="20"/>
          <w:szCs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lang w:val="es-ES_tradnl"/>
        </w:rPr>
        <w:t xml:space="preserve">En relación a la graduación de la sanción imponible, el artículo 294º del Reglamento establece que los postores que den lugar a la resolución del contrato serán sancionados con inhabilitación temporal para contratar con el Estado por un periodo no menor de uno (1) año ni mayor de dos (2) años, </w:t>
      </w:r>
      <w:r w:rsidRPr="00EC23BB">
        <w:rPr>
          <w:rFonts w:ascii="Tahoma" w:hAnsi="Tahoma" w:cs="Tahoma"/>
          <w:sz w:val="20"/>
          <w:szCs w:val="20"/>
          <w:lang w:val="es-MX"/>
        </w:rPr>
        <w:t xml:space="preserve">conforme a los criterios </w:t>
      </w:r>
      <w:r w:rsidRPr="00EC23BB">
        <w:rPr>
          <w:rFonts w:ascii="Tahoma" w:hAnsi="Tahoma" w:cs="Tahoma"/>
          <w:sz w:val="20"/>
          <w:szCs w:val="20"/>
          <w:lang w:val="es-ES_tradnl"/>
        </w:rPr>
        <w:t>para la determinación gradual de la sanción previstos en el artículo 302 del Reglamento</w:t>
      </w:r>
      <w:r w:rsidRPr="00EC23BB">
        <w:rPr>
          <w:rFonts w:ascii="Tahoma" w:hAnsi="Tahoma" w:cs="Tahoma"/>
          <w:sz w:val="20"/>
          <w:szCs w:val="20"/>
          <w:vertAlign w:val="superscript"/>
          <w:lang w:val="es-ES_tradnl"/>
        </w:rPr>
        <w:footnoteReference w:id="4"/>
      </w:r>
      <w:r w:rsidRPr="00EC23BB">
        <w:rPr>
          <w:rFonts w:ascii="Tahoma" w:hAnsi="Tahoma" w:cs="Tahoma"/>
          <w:sz w:val="20"/>
          <w:szCs w:val="20"/>
          <w:lang w:val="es-ES_tradnl"/>
        </w:rPr>
        <w:t>.</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 xml:space="preserve">Asimismo, debe tenerse en cuenta que de acuerdo al </w:t>
      </w:r>
      <w:r w:rsidRPr="00EC23BB">
        <w:rPr>
          <w:rFonts w:ascii="Tahoma" w:hAnsi="Tahoma" w:cs="Tahoma"/>
          <w:i/>
          <w:iCs/>
          <w:sz w:val="20"/>
          <w:szCs w:val="20"/>
        </w:rPr>
        <w:t>Principio de Razonabilidad</w:t>
      </w:r>
      <w:r w:rsidRPr="00EC23BB">
        <w:rPr>
          <w:rFonts w:ascii="Tahoma" w:hAnsi="Tahoma" w:cs="Tahoma"/>
          <w:sz w:val="20"/>
          <w:szCs w:val="20"/>
        </w:rPr>
        <w:t>, consagrado en el numeral 3 del artículo 230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Bajo las premisas anotadas debe considerarse la naturaleza de la infracción que, en este caso, obedece a una cuestión de falta de responsabilidad en el deber del Contratista de honrar las prestaciones a su cargo.</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Adicionalmente, en lo que atañe a la conducta procesal del infractor durante la sustanciación del presente procedimiento administrativo sancionador, es necesario tener presente que el Contratista  se ha apersonado a la instancia y  presentado sus descargos oportunamente, aunque no ha reconocido la comisión de la infracción.</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En el mismo sentido, es necesario que este Tribunal preste atención al daño causado por el infractor.  Así, debe tenerse en cuenta que la conducta irregular del Contratista reviste de una considerable gravedad en la medida en que desde el momento en que se asumió un compromiso contractual frente a la Entidad, aquél se obligó a cumplir cabalmente con lo ofrecido, toda vez que es conocido que ante un eventual incumplimiento se retrasaría el cumplimiento de las metas institucionales de la Entidad en agravio de intereses de carácter público. Adviér</w:t>
      </w:r>
      <w:r w:rsidR="00A74607">
        <w:rPr>
          <w:rFonts w:ascii="Tahoma" w:hAnsi="Tahoma" w:cs="Tahoma"/>
          <w:sz w:val="20"/>
          <w:szCs w:val="20"/>
        </w:rPr>
        <w:t>tase, además que, la Entidad tuv</w:t>
      </w:r>
      <w:r w:rsidRPr="00EC23BB">
        <w:rPr>
          <w:rFonts w:ascii="Tahoma" w:hAnsi="Tahoma" w:cs="Tahoma"/>
          <w:sz w:val="20"/>
          <w:szCs w:val="20"/>
        </w:rPr>
        <w:t>o que abastecerse del suministro de los bienes de manera directa.</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Por otro lado, se debe tener en consideración, la cuantía del presente proceso de selección, por el monto de S/. 29,604.40.00. Así, como también no puede dejar de valorarse a favor del Contratista la circunstancia atenuante del cumplimiento parcial de la prestación y que carece de antecedentes al no haber sido inhabilitado anteriormente para participar en procesos de selección y contratar con el Estado.</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lastRenderedPageBreak/>
        <w:t>Consecuentemente, corresponde en opinión de este Colegiado imponerle la sanción administrativa de inhabilitación temporal en sus derechos para participar en procesos de selección y contratar con el Estado por el período de doce (12) meses.</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0"/>
        </w:numPr>
        <w:spacing w:after="0" w:line="240" w:lineRule="auto"/>
        <w:jc w:val="both"/>
        <w:rPr>
          <w:rFonts w:ascii="Tahoma" w:hAnsi="Tahoma" w:cs="Tahoma"/>
          <w:sz w:val="20"/>
          <w:szCs w:val="20"/>
        </w:rPr>
      </w:pPr>
      <w:r w:rsidRPr="00EC23BB">
        <w:rPr>
          <w:rFonts w:ascii="Tahoma" w:hAnsi="Tahoma" w:cs="Tahoma"/>
          <w:sz w:val="20"/>
          <w:szCs w:val="20"/>
        </w:rPr>
        <w:t>Finalmente, corresponde poner la presente resolución en conocimiento del Órgano de Control institucional de la Entidad a efectos que verifique lo retrasos o demoras en la emisión de las órdenes de compra y los correspondientes pagos al contratista.</w:t>
      </w:r>
    </w:p>
    <w:p w:rsidR="00187C3D" w:rsidRPr="00EC23BB" w:rsidRDefault="00187C3D" w:rsidP="000A3341">
      <w:pPr>
        <w:spacing w:after="0" w:line="240" w:lineRule="auto"/>
        <w:ind w:firstLine="567"/>
        <w:jc w:val="both"/>
        <w:rPr>
          <w:rFonts w:ascii="Tahoma" w:hAnsi="Tahoma" w:cs="Tahoma"/>
          <w:sz w:val="20"/>
          <w:szCs w:val="20"/>
        </w:rPr>
      </w:pPr>
    </w:p>
    <w:p w:rsidR="00187C3D" w:rsidRPr="00EC23BB" w:rsidRDefault="00187C3D" w:rsidP="000A3341">
      <w:pPr>
        <w:spacing w:after="0" w:line="240" w:lineRule="auto"/>
        <w:ind w:left="-284" w:firstLine="360"/>
        <w:jc w:val="both"/>
        <w:rPr>
          <w:rFonts w:ascii="Tahoma" w:hAnsi="Tahoma" w:cs="Tahoma"/>
          <w:sz w:val="20"/>
          <w:szCs w:val="20"/>
        </w:rPr>
      </w:pPr>
      <w:r w:rsidRPr="00EC23BB">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187C3D" w:rsidRPr="00EC23BB" w:rsidRDefault="00187C3D" w:rsidP="000A3341">
      <w:pPr>
        <w:spacing w:after="0" w:line="240" w:lineRule="auto"/>
        <w:jc w:val="both"/>
        <w:rPr>
          <w:rFonts w:ascii="Tahoma" w:hAnsi="Tahoma" w:cs="Tahoma"/>
          <w:sz w:val="20"/>
          <w:szCs w:val="20"/>
        </w:rPr>
      </w:pPr>
    </w:p>
    <w:p w:rsidR="00187C3D" w:rsidRPr="00EC23BB" w:rsidRDefault="00187C3D" w:rsidP="000A3341">
      <w:pPr>
        <w:spacing w:after="0" w:line="240" w:lineRule="auto"/>
        <w:ind w:right="-315"/>
        <w:jc w:val="both"/>
        <w:rPr>
          <w:rFonts w:ascii="Tahoma" w:hAnsi="Tahoma" w:cs="Tahoma"/>
          <w:b/>
          <w:sz w:val="20"/>
          <w:szCs w:val="20"/>
        </w:rPr>
      </w:pPr>
      <w:r w:rsidRPr="00EC23BB">
        <w:rPr>
          <w:rFonts w:ascii="Tahoma" w:hAnsi="Tahoma" w:cs="Tahoma"/>
          <w:b/>
          <w:sz w:val="20"/>
          <w:szCs w:val="20"/>
        </w:rPr>
        <w:t>LA SALA RESUELVE:</w:t>
      </w:r>
    </w:p>
    <w:p w:rsidR="00187C3D" w:rsidRPr="00EC23BB" w:rsidRDefault="00187C3D" w:rsidP="000A3341">
      <w:pPr>
        <w:spacing w:after="0" w:line="240" w:lineRule="auto"/>
        <w:ind w:left="360"/>
        <w:jc w:val="both"/>
        <w:rPr>
          <w:rFonts w:ascii="Tahoma" w:hAnsi="Tahoma" w:cs="Tahoma"/>
          <w:sz w:val="20"/>
          <w:szCs w:val="20"/>
        </w:rPr>
      </w:pPr>
    </w:p>
    <w:p w:rsidR="000A3341" w:rsidRDefault="00A00207" w:rsidP="000A3341">
      <w:pPr>
        <w:numPr>
          <w:ilvl w:val="0"/>
          <w:numId w:val="12"/>
        </w:numPr>
        <w:tabs>
          <w:tab w:val="clear" w:pos="720"/>
          <w:tab w:val="num" w:pos="567"/>
        </w:tabs>
        <w:spacing w:after="0" w:line="240" w:lineRule="auto"/>
        <w:ind w:left="567" w:hanging="567"/>
        <w:jc w:val="both"/>
        <w:rPr>
          <w:rFonts w:ascii="Tahoma" w:hAnsi="Tahoma" w:cs="Tahoma"/>
          <w:sz w:val="20"/>
          <w:szCs w:val="20"/>
        </w:rPr>
      </w:pPr>
      <w:r w:rsidRPr="00EC23BB">
        <w:rPr>
          <w:rFonts w:ascii="Tahoma" w:hAnsi="Tahoma" w:cs="Tahoma"/>
          <w:sz w:val="20"/>
          <w:szCs w:val="20"/>
        </w:rPr>
        <w:t xml:space="preserve">Imponer al Sr. Abel Félix Vilcherrez Macalupu, la sanción administrativa de inhabilitación temporal por el periodo de doce (12) meses en sus derechos de participar en procesos de selección y contratar con el Estado, por la comisión de la infracción tipificada en el numeral 2) del artículo 294 del Reglamento, la cual entrará en vigencia a partir del sexto día hábil siguiente de notificada la presente Resolución. </w:t>
      </w:r>
    </w:p>
    <w:p w:rsidR="000A3341" w:rsidRDefault="000A3341" w:rsidP="000A3341">
      <w:pPr>
        <w:spacing w:after="0" w:line="240" w:lineRule="auto"/>
        <w:ind w:left="567"/>
        <w:jc w:val="both"/>
        <w:rPr>
          <w:rFonts w:ascii="Tahoma" w:hAnsi="Tahoma" w:cs="Tahoma"/>
          <w:sz w:val="20"/>
          <w:szCs w:val="20"/>
        </w:rPr>
      </w:pPr>
    </w:p>
    <w:p w:rsidR="00A00207" w:rsidRPr="000A3341" w:rsidRDefault="00A00207" w:rsidP="000A3341">
      <w:pPr>
        <w:numPr>
          <w:ilvl w:val="0"/>
          <w:numId w:val="12"/>
        </w:numPr>
        <w:tabs>
          <w:tab w:val="clear" w:pos="720"/>
          <w:tab w:val="num" w:pos="567"/>
        </w:tabs>
        <w:spacing w:after="0" w:line="240" w:lineRule="auto"/>
        <w:ind w:left="567" w:hanging="567"/>
        <w:jc w:val="both"/>
        <w:rPr>
          <w:rFonts w:ascii="Tahoma" w:hAnsi="Tahoma" w:cs="Tahoma"/>
          <w:sz w:val="20"/>
          <w:szCs w:val="20"/>
        </w:rPr>
      </w:pPr>
      <w:r w:rsidRPr="000A3341">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A00207" w:rsidRPr="00EC23BB" w:rsidRDefault="00A00207" w:rsidP="000A3341">
      <w:pPr>
        <w:pStyle w:val="Prrafodelista"/>
        <w:rPr>
          <w:rFonts w:ascii="Tahoma" w:hAnsi="Tahoma" w:cs="Tahoma"/>
          <w:sz w:val="20"/>
        </w:rPr>
      </w:pPr>
    </w:p>
    <w:p w:rsidR="00A00207" w:rsidRPr="00EC23BB" w:rsidRDefault="00A00207" w:rsidP="000A3341">
      <w:pPr>
        <w:numPr>
          <w:ilvl w:val="0"/>
          <w:numId w:val="12"/>
        </w:numPr>
        <w:tabs>
          <w:tab w:val="clear" w:pos="720"/>
          <w:tab w:val="num" w:pos="567"/>
        </w:tabs>
        <w:spacing w:after="0" w:line="240" w:lineRule="auto"/>
        <w:ind w:left="567" w:hanging="567"/>
        <w:jc w:val="both"/>
        <w:rPr>
          <w:rFonts w:ascii="Tahoma" w:hAnsi="Tahoma" w:cs="Tahoma"/>
          <w:sz w:val="20"/>
          <w:szCs w:val="20"/>
        </w:rPr>
      </w:pPr>
      <w:r w:rsidRPr="00EC23BB">
        <w:rPr>
          <w:rFonts w:ascii="Tahoma" w:hAnsi="Tahoma" w:cs="Tahoma"/>
          <w:sz w:val="20"/>
          <w:szCs w:val="20"/>
        </w:rPr>
        <w:t>Poner la presente resolución en conocimiento del Órgano de Control institucional de la Entidad</w:t>
      </w:r>
    </w:p>
    <w:p w:rsidR="00187C3D" w:rsidRPr="00EC23BB" w:rsidRDefault="00187C3D" w:rsidP="000A3341">
      <w:pPr>
        <w:pStyle w:val="Ttulo3"/>
        <w:spacing w:line="240" w:lineRule="auto"/>
        <w:jc w:val="both"/>
        <w:rPr>
          <w:rFonts w:ascii="Tahoma" w:hAnsi="Tahoma" w:cs="Tahoma"/>
          <w:b w:val="0"/>
          <w:bCs w:val="0"/>
          <w:sz w:val="20"/>
          <w:szCs w:val="20"/>
        </w:rPr>
      </w:pPr>
      <w:r w:rsidRPr="00EC23BB">
        <w:rPr>
          <w:rFonts w:ascii="Tahoma" w:hAnsi="Tahoma" w:cs="Tahoma"/>
          <w:b w:val="0"/>
          <w:sz w:val="20"/>
          <w:szCs w:val="20"/>
        </w:rPr>
        <w:t>Regístrese, comuníquese y publíquese.</w:t>
      </w:r>
    </w:p>
    <w:p w:rsidR="00187C3D" w:rsidRPr="00EC23BB" w:rsidRDefault="00187C3D" w:rsidP="000A3341">
      <w:pPr>
        <w:spacing w:after="0" w:line="240" w:lineRule="auto"/>
        <w:jc w:val="both"/>
        <w:rPr>
          <w:rFonts w:ascii="Tahoma" w:hAnsi="Tahoma" w:cs="Tahoma"/>
          <w:b/>
          <w:shadow/>
          <w:sz w:val="20"/>
          <w:szCs w:val="20"/>
        </w:rPr>
      </w:pPr>
    </w:p>
    <w:p w:rsidR="00187C3D" w:rsidRPr="00EC23BB" w:rsidRDefault="00187C3D" w:rsidP="000A3341">
      <w:pPr>
        <w:spacing w:after="0" w:line="240" w:lineRule="auto"/>
        <w:jc w:val="both"/>
        <w:rPr>
          <w:rFonts w:ascii="Tahoma" w:hAnsi="Tahoma" w:cs="Tahoma"/>
          <w:b/>
          <w:shadow/>
          <w:sz w:val="20"/>
          <w:szCs w:val="20"/>
        </w:rPr>
      </w:pPr>
    </w:p>
    <w:p w:rsidR="00187C3D" w:rsidRPr="00EC23BB" w:rsidRDefault="00187C3D" w:rsidP="000A3341">
      <w:pPr>
        <w:spacing w:after="0" w:line="240" w:lineRule="auto"/>
        <w:jc w:val="both"/>
        <w:rPr>
          <w:rFonts w:ascii="Tahoma" w:hAnsi="Tahoma" w:cs="Tahoma"/>
          <w:b/>
          <w:shadow/>
          <w:sz w:val="20"/>
          <w:szCs w:val="20"/>
        </w:rPr>
      </w:pPr>
    </w:p>
    <w:p w:rsidR="00187C3D" w:rsidRPr="00EC23BB" w:rsidRDefault="00187C3D" w:rsidP="000A3341">
      <w:pPr>
        <w:spacing w:after="0" w:line="240" w:lineRule="auto"/>
        <w:ind w:left="2832" w:firstLine="708"/>
        <w:jc w:val="both"/>
        <w:rPr>
          <w:rFonts w:ascii="Tahoma" w:hAnsi="Tahoma" w:cs="Tahoma"/>
          <w:b/>
          <w:shadow/>
          <w:sz w:val="20"/>
          <w:szCs w:val="20"/>
        </w:rPr>
      </w:pPr>
      <w:r w:rsidRPr="00EC23BB">
        <w:rPr>
          <w:rFonts w:ascii="Tahoma" w:hAnsi="Tahoma" w:cs="Tahoma"/>
          <w:b/>
          <w:shadow/>
          <w:sz w:val="20"/>
          <w:szCs w:val="20"/>
        </w:rPr>
        <w:t>PRESIDENTE</w:t>
      </w:r>
    </w:p>
    <w:p w:rsidR="00187C3D" w:rsidRPr="00EC23BB" w:rsidRDefault="00187C3D" w:rsidP="000A3341">
      <w:pPr>
        <w:spacing w:after="0" w:line="240" w:lineRule="auto"/>
        <w:jc w:val="both"/>
        <w:rPr>
          <w:rFonts w:ascii="Tahoma" w:hAnsi="Tahoma" w:cs="Tahoma"/>
          <w:b/>
          <w:shadow/>
          <w:sz w:val="20"/>
          <w:szCs w:val="20"/>
        </w:rPr>
      </w:pPr>
    </w:p>
    <w:p w:rsidR="00187C3D" w:rsidRPr="00EC23BB" w:rsidRDefault="00187C3D" w:rsidP="000A3341">
      <w:pPr>
        <w:spacing w:after="0" w:line="240" w:lineRule="auto"/>
        <w:jc w:val="both"/>
        <w:rPr>
          <w:rFonts w:ascii="Tahoma" w:hAnsi="Tahoma" w:cs="Tahoma"/>
          <w:b/>
          <w:shadow/>
          <w:sz w:val="20"/>
          <w:szCs w:val="20"/>
        </w:rPr>
      </w:pPr>
    </w:p>
    <w:p w:rsidR="00187C3D" w:rsidRPr="00EC23BB" w:rsidRDefault="00187C3D" w:rsidP="000A3341">
      <w:pPr>
        <w:spacing w:after="0" w:line="240" w:lineRule="auto"/>
        <w:jc w:val="both"/>
        <w:rPr>
          <w:rFonts w:ascii="Tahoma" w:hAnsi="Tahoma" w:cs="Tahoma"/>
          <w:b/>
          <w:shadow/>
          <w:sz w:val="20"/>
          <w:szCs w:val="20"/>
        </w:rPr>
      </w:pPr>
    </w:p>
    <w:p w:rsidR="00187C3D" w:rsidRPr="00EC23BB" w:rsidRDefault="00187C3D" w:rsidP="000A3341">
      <w:pPr>
        <w:spacing w:after="0" w:line="240" w:lineRule="auto"/>
        <w:jc w:val="both"/>
        <w:rPr>
          <w:rFonts w:ascii="Tahoma" w:hAnsi="Tahoma" w:cs="Tahoma"/>
          <w:shadow/>
          <w:sz w:val="20"/>
          <w:szCs w:val="20"/>
        </w:rPr>
      </w:pPr>
      <w:r w:rsidRPr="00EC23BB">
        <w:rPr>
          <w:rFonts w:ascii="Tahoma" w:hAnsi="Tahoma" w:cs="Tahoma"/>
          <w:b/>
          <w:shadow/>
          <w:sz w:val="20"/>
          <w:szCs w:val="20"/>
        </w:rPr>
        <w:t xml:space="preserve">                  VOCAL</w:t>
      </w:r>
      <w:r w:rsidRPr="00EC23BB">
        <w:rPr>
          <w:rFonts w:ascii="Tahoma" w:hAnsi="Tahoma" w:cs="Tahoma"/>
          <w:b/>
          <w:shadow/>
          <w:sz w:val="20"/>
          <w:szCs w:val="20"/>
        </w:rPr>
        <w:tab/>
      </w:r>
      <w:r w:rsidRPr="00EC23BB">
        <w:rPr>
          <w:rFonts w:ascii="Tahoma" w:hAnsi="Tahoma" w:cs="Tahoma"/>
          <w:b/>
          <w:shadow/>
          <w:sz w:val="20"/>
          <w:szCs w:val="20"/>
        </w:rPr>
        <w:tab/>
      </w:r>
      <w:r w:rsidRPr="00EC23BB">
        <w:rPr>
          <w:rFonts w:ascii="Tahoma" w:hAnsi="Tahoma" w:cs="Tahoma"/>
          <w:b/>
          <w:shadow/>
          <w:sz w:val="20"/>
          <w:szCs w:val="20"/>
        </w:rPr>
        <w:tab/>
      </w:r>
      <w:r w:rsidRPr="00EC23BB">
        <w:rPr>
          <w:rFonts w:ascii="Tahoma" w:hAnsi="Tahoma" w:cs="Tahoma"/>
          <w:b/>
          <w:shadow/>
          <w:sz w:val="20"/>
          <w:szCs w:val="20"/>
        </w:rPr>
        <w:tab/>
      </w:r>
      <w:r w:rsidRPr="00EC23BB">
        <w:rPr>
          <w:rFonts w:ascii="Tahoma" w:hAnsi="Tahoma" w:cs="Tahoma"/>
          <w:b/>
          <w:shadow/>
          <w:sz w:val="20"/>
          <w:szCs w:val="20"/>
        </w:rPr>
        <w:tab/>
      </w:r>
      <w:r w:rsidRPr="00EC23BB">
        <w:rPr>
          <w:rFonts w:ascii="Tahoma" w:hAnsi="Tahoma" w:cs="Tahoma"/>
          <w:b/>
          <w:shadow/>
          <w:sz w:val="20"/>
          <w:szCs w:val="20"/>
        </w:rPr>
        <w:tab/>
      </w:r>
      <w:r w:rsidRPr="00EC23BB">
        <w:rPr>
          <w:rFonts w:ascii="Tahoma" w:hAnsi="Tahoma" w:cs="Tahoma"/>
          <w:b/>
          <w:shadow/>
          <w:sz w:val="20"/>
          <w:szCs w:val="20"/>
        </w:rPr>
        <w:tab/>
      </w:r>
      <w:r w:rsidRPr="00EC23BB">
        <w:rPr>
          <w:rFonts w:ascii="Tahoma" w:hAnsi="Tahoma" w:cs="Tahoma"/>
          <w:b/>
          <w:shadow/>
          <w:sz w:val="20"/>
          <w:szCs w:val="20"/>
        </w:rPr>
        <w:tab/>
        <w:t xml:space="preserve">VOCAL                                                                 </w:t>
      </w:r>
    </w:p>
    <w:p w:rsidR="00187C3D" w:rsidRPr="00EC23BB" w:rsidRDefault="00187C3D" w:rsidP="000A3341">
      <w:pPr>
        <w:spacing w:after="0" w:line="240" w:lineRule="auto"/>
        <w:jc w:val="both"/>
        <w:rPr>
          <w:rFonts w:ascii="Tahoma" w:hAnsi="Tahoma" w:cs="Tahoma"/>
          <w:sz w:val="20"/>
          <w:szCs w:val="20"/>
        </w:rPr>
      </w:pPr>
    </w:p>
    <w:p w:rsidR="00187C3D" w:rsidRPr="00EC23BB" w:rsidRDefault="00187C3D" w:rsidP="000A3341">
      <w:pPr>
        <w:spacing w:after="0" w:line="240" w:lineRule="auto"/>
        <w:jc w:val="both"/>
        <w:rPr>
          <w:rFonts w:ascii="Tahoma" w:hAnsi="Tahoma" w:cs="Tahoma"/>
          <w:sz w:val="20"/>
          <w:szCs w:val="20"/>
        </w:rPr>
      </w:pPr>
    </w:p>
    <w:p w:rsidR="00187C3D" w:rsidRPr="000A3341" w:rsidRDefault="00187C3D" w:rsidP="000A3341">
      <w:pPr>
        <w:spacing w:after="0" w:line="240" w:lineRule="auto"/>
        <w:jc w:val="both"/>
        <w:rPr>
          <w:rFonts w:ascii="Tahoma" w:hAnsi="Tahoma" w:cs="Tahoma"/>
          <w:sz w:val="18"/>
          <w:szCs w:val="18"/>
        </w:rPr>
      </w:pPr>
      <w:r w:rsidRPr="000A3341">
        <w:rPr>
          <w:rFonts w:ascii="Tahoma" w:hAnsi="Tahoma" w:cs="Tahoma"/>
          <w:sz w:val="18"/>
          <w:szCs w:val="18"/>
        </w:rPr>
        <w:t>ss.</w:t>
      </w:r>
    </w:p>
    <w:p w:rsidR="00187C3D" w:rsidRPr="000A3341" w:rsidRDefault="00187C3D" w:rsidP="000A3341">
      <w:pPr>
        <w:spacing w:after="0" w:line="240" w:lineRule="auto"/>
        <w:jc w:val="both"/>
        <w:rPr>
          <w:rFonts w:ascii="Tahoma" w:hAnsi="Tahoma" w:cs="Tahoma"/>
          <w:sz w:val="18"/>
          <w:szCs w:val="18"/>
        </w:rPr>
      </w:pPr>
      <w:r w:rsidRPr="000A3341">
        <w:rPr>
          <w:rFonts w:ascii="Tahoma" w:hAnsi="Tahoma" w:cs="Tahoma"/>
          <w:sz w:val="18"/>
          <w:szCs w:val="18"/>
        </w:rPr>
        <w:t>Navas Rondón,</w:t>
      </w:r>
    </w:p>
    <w:p w:rsidR="00187C3D" w:rsidRPr="000A3341" w:rsidRDefault="00187C3D" w:rsidP="000A3341">
      <w:pPr>
        <w:spacing w:after="0" w:line="240" w:lineRule="auto"/>
        <w:jc w:val="both"/>
        <w:rPr>
          <w:rFonts w:ascii="Tahoma" w:hAnsi="Tahoma" w:cs="Tahoma"/>
          <w:sz w:val="18"/>
          <w:szCs w:val="18"/>
        </w:rPr>
      </w:pPr>
      <w:r w:rsidRPr="000A3341">
        <w:rPr>
          <w:rFonts w:ascii="Tahoma" w:hAnsi="Tahoma" w:cs="Tahoma"/>
          <w:sz w:val="18"/>
          <w:szCs w:val="18"/>
        </w:rPr>
        <w:t>Ramírez Maynetto,</w:t>
      </w:r>
    </w:p>
    <w:p w:rsidR="00187C3D" w:rsidRPr="000A3341" w:rsidRDefault="00187C3D" w:rsidP="000A3341">
      <w:pPr>
        <w:spacing w:after="0" w:line="240" w:lineRule="auto"/>
        <w:jc w:val="both"/>
        <w:rPr>
          <w:rFonts w:ascii="Tahoma" w:hAnsi="Tahoma" w:cs="Tahoma"/>
          <w:sz w:val="18"/>
          <w:szCs w:val="18"/>
        </w:rPr>
      </w:pPr>
      <w:r w:rsidRPr="000A3341">
        <w:rPr>
          <w:rFonts w:ascii="Tahoma" w:hAnsi="Tahoma" w:cs="Tahoma"/>
          <w:sz w:val="18"/>
          <w:szCs w:val="18"/>
        </w:rPr>
        <w:t>Basulto Liewald.</w:t>
      </w:r>
    </w:p>
    <w:p w:rsidR="00187C3D" w:rsidRPr="00EC23BB" w:rsidRDefault="00187C3D" w:rsidP="000A3341">
      <w:pPr>
        <w:spacing w:line="240" w:lineRule="auto"/>
        <w:rPr>
          <w:rFonts w:ascii="Tahoma" w:hAnsi="Tahoma" w:cs="Tahoma"/>
          <w:sz w:val="20"/>
          <w:szCs w:val="20"/>
        </w:rPr>
      </w:pPr>
    </w:p>
    <w:p w:rsidR="00973730" w:rsidRPr="00EC23BB" w:rsidRDefault="00973730" w:rsidP="000A3341">
      <w:pPr>
        <w:spacing w:line="240" w:lineRule="auto"/>
        <w:rPr>
          <w:rFonts w:ascii="Tahoma" w:hAnsi="Tahoma" w:cs="Tahoma"/>
          <w:sz w:val="20"/>
          <w:szCs w:val="20"/>
        </w:rPr>
      </w:pPr>
    </w:p>
    <w:sectPr w:rsidR="00973730" w:rsidRPr="00EC23BB" w:rsidSect="00CD0AC9">
      <w:headerReference w:type="default" r:id="rId7"/>
      <w:footerReference w:type="default" r:id="rId8"/>
      <w:pgSz w:w="11906" w:h="16838"/>
      <w:pgMar w:top="2836" w:right="1416" w:bottom="1702"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439" w:rsidRDefault="00182439" w:rsidP="00187C3D">
      <w:pPr>
        <w:spacing w:after="0" w:line="240" w:lineRule="auto"/>
      </w:pPr>
      <w:r>
        <w:separator/>
      </w:r>
    </w:p>
  </w:endnote>
  <w:endnote w:type="continuationSeparator" w:id="1">
    <w:p w:rsidR="00182439" w:rsidRDefault="00182439" w:rsidP="00187C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B2F" w:rsidRPr="00FD5A0C" w:rsidRDefault="00D66B2F">
    <w:pPr>
      <w:pStyle w:val="Piedepgina"/>
      <w:jc w:val="center"/>
      <w:rPr>
        <w:rFonts w:ascii="Tahoma" w:hAnsi="Tahoma" w:cs="Tahoma"/>
        <w:i/>
        <w:sz w:val="18"/>
        <w:szCs w:val="18"/>
      </w:rPr>
    </w:pPr>
    <w:r w:rsidRPr="00FD5A0C">
      <w:rPr>
        <w:rFonts w:ascii="Tahoma" w:hAnsi="Tahoma" w:cs="Tahoma"/>
        <w:i/>
        <w:sz w:val="18"/>
        <w:szCs w:val="18"/>
      </w:rPr>
      <w:t xml:space="preserve">Página </w:t>
    </w:r>
    <w:r w:rsidR="00B60068" w:rsidRPr="00FD5A0C">
      <w:rPr>
        <w:rFonts w:ascii="Tahoma" w:hAnsi="Tahoma" w:cs="Tahoma"/>
        <w:i/>
        <w:sz w:val="18"/>
        <w:szCs w:val="18"/>
      </w:rPr>
      <w:fldChar w:fldCharType="begin"/>
    </w:r>
    <w:r w:rsidRPr="00FD5A0C">
      <w:rPr>
        <w:rFonts w:ascii="Tahoma" w:hAnsi="Tahoma" w:cs="Tahoma"/>
        <w:i/>
        <w:sz w:val="18"/>
        <w:szCs w:val="18"/>
      </w:rPr>
      <w:instrText>PAGE</w:instrText>
    </w:r>
    <w:r w:rsidR="00B60068" w:rsidRPr="00FD5A0C">
      <w:rPr>
        <w:rFonts w:ascii="Tahoma" w:hAnsi="Tahoma" w:cs="Tahoma"/>
        <w:i/>
        <w:sz w:val="18"/>
        <w:szCs w:val="18"/>
      </w:rPr>
      <w:fldChar w:fldCharType="separate"/>
    </w:r>
    <w:r w:rsidR="00357D66">
      <w:rPr>
        <w:rFonts w:ascii="Tahoma" w:hAnsi="Tahoma" w:cs="Tahoma"/>
        <w:i/>
        <w:noProof/>
        <w:sz w:val="18"/>
        <w:szCs w:val="18"/>
      </w:rPr>
      <w:t>1</w:t>
    </w:r>
    <w:r w:rsidR="00B60068" w:rsidRPr="00FD5A0C">
      <w:rPr>
        <w:rFonts w:ascii="Tahoma" w:hAnsi="Tahoma" w:cs="Tahoma"/>
        <w:i/>
        <w:sz w:val="18"/>
        <w:szCs w:val="18"/>
      </w:rPr>
      <w:fldChar w:fldCharType="end"/>
    </w:r>
    <w:r w:rsidRPr="00FD5A0C">
      <w:rPr>
        <w:rFonts w:ascii="Tahoma" w:hAnsi="Tahoma" w:cs="Tahoma"/>
        <w:i/>
        <w:sz w:val="18"/>
        <w:szCs w:val="18"/>
      </w:rPr>
      <w:t xml:space="preserve"> de </w:t>
    </w:r>
    <w:r w:rsidR="00B60068" w:rsidRPr="00FD5A0C">
      <w:rPr>
        <w:rFonts w:ascii="Tahoma" w:hAnsi="Tahoma" w:cs="Tahoma"/>
        <w:i/>
        <w:sz w:val="18"/>
        <w:szCs w:val="18"/>
      </w:rPr>
      <w:fldChar w:fldCharType="begin"/>
    </w:r>
    <w:r w:rsidRPr="00FD5A0C">
      <w:rPr>
        <w:rFonts w:ascii="Tahoma" w:hAnsi="Tahoma" w:cs="Tahoma"/>
        <w:i/>
        <w:sz w:val="18"/>
        <w:szCs w:val="18"/>
      </w:rPr>
      <w:instrText>NUMPAGES</w:instrText>
    </w:r>
    <w:r w:rsidR="00B60068" w:rsidRPr="00FD5A0C">
      <w:rPr>
        <w:rFonts w:ascii="Tahoma" w:hAnsi="Tahoma" w:cs="Tahoma"/>
        <w:i/>
        <w:sz w:val="18"/>
        <w:szCs w:val="18"/>
      </w:rPr>
      <w:fldChar w:fldCharType="separate"/>
    </w:r>
    <w:r w:rsidR="00357D66">
      <w:rPr>
        <w:rFonts w:ascii="Tahoma" w:hAnsi="Tahoma" w:cs="Tahoma"/>
        <w:i/>
        <w:noProof/>
        <w:sz w:val="18"/>
        <w:szCs w:val="18"/>
      </w:rPr>
      <w:t>13</w:t>
    </w:r>
    <w:r w:rsidR="00B60068" w:rsidRPr="00FD5A0C">
      <w:rPr>
        <w:rFonts w:ascii="Tahoma" w:hAnsi="Tahoma" w:cs="Tahoma"/>
        <w:i/>
        <w:sz w:val="18"/>
        <w:szCs w:val="18"/>
      </w:rPr>
      <w:fldChar w:fldCharType="end"/>
    </w:r>
  </w:p>
  <w:p w:rsidR="00D66B2F" w:rsidRDefault="00D66B2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439" w:rsidRDefault="00182439" w:rsidP="00187C3D">
      <w:pPr>
        <w:spacing w:after="0" w:line="240" w:lineRule="auto"/>
      </w:pPr>
      <w:r>
        <w:separator/>
      </w:r>
    </w:p>
  </w:footnote>
  <w:footnote w:type="continuationSeparator" w:id="1">
    <w:p w:rsidR="00182439" w:rsidRDefault="00182439" w:rsidP="00187C3D">
      <w:pPr>
        <w:spacing w:after="0" w:line="240" w:lineRule="auto"/>
      </w:pPr>
      <w:r>
        <w:continuationSeparator/>
      </w:r>
    </w:p>
  </w:footnote>
  <w:footnote w:id="2">
    <w:p w:rsidR="00D66B2F" w:rsidRPr="00CD5F60" w:rsidRDefault="00D66B2F" w:rsidP="00A00207">
      <w:pPr>
        <w:pStyle w:val="Textonotapie"/>
        <w:rPr>
          <w:i/>
          <w:iCs/>
          <w:sz w:val="16"/>
          <w:szCs w:val="16"/>
        </w:rPr>
      </w:pPr>
      <w:r w:rsidRPr="00AF65D5">
        <w:rPr>
          <w:rStyle w:val="Refdenotaalpie"/>
          <w:i/>
          <w:iCs/>
          <w:sz w:val="18"/>
          <w:szCs w:val="18"/>
        </w:rPr>
        <w:footnoteRef/>
      </w:r>
      <w:r w:rsidRPr="00AF65D5">
        <w:rPr>
          <w:i/>
          <w:iCs/>
          <w:sz w:val="18"/>
          <w:szCs w:val="18"/>
        </w:rPr>
        <w:t xml:space="preserve"> </w:t>
      </w:r>
      <w:r w:rsidRPr="00CD5F60">
        <w:rPr>
          <w:i/>
          <w:iCs/>
          <w:sz w:val="16"/>
          <w:szCs w:val="16"/>
        </w:rPr>
        <w:t>Acuerdo dictado en el marco de los entonces vigentes Texto</w:t>
      </w:r>
      <w:r>
        <w:rPr>
          <w:i/>
          <w:iCs/>
          <w:sz w:val="16"/>
          <w:szCs w:val="16"/>
        </w:rPr>
        <w:t xml:space="preserve"> </w:t>
      </w:r>
      <w:r w:rsidRPr="00CD5F60">
        <w:rPr>
          <w:i/>
          <w:iCs/>
          <w:sz w:val="16"/>
          <w:szCs w:val="16"/>
        </w:rPr>
        <w:t>Único Ordenado de la Ley de Contrataciones y Adquisiciones del Estado, aprobado por Decreto Supremo Nº 012-2001-PCM y su Reglamento, aprobado por D.S. Nº 013-2001-PCM, pero que resulta igualmente aplicable en el caso de autos.</w:t>
      </w:r>
    </w:p>
    <w:p w:rsidR="00D66B2F" w:rsidRDefault="00D66B2F" w:rsidP="00A00207">
      <w:pPr>
        <w:pStyle w:val="Textonotapie"/>
      </w:pPr>
    </w:p>
  </w:footnote>
  <w:footnote w:id="3">
    <w:p w:rsidR="00D66B2F" w:rsidRDefault="00D66B2F" w:rsidP="00A00207">
      <w:pPr>
        <w:pStyle w:val="Textonotapie"/>
      </w:pPr>
      <w:r>
        <w:rPr>
          <w:rStyle w:val="Refdenotaalpie"/>
        </w:rPr>
        <w:footnoteRef/>
      </w:r>
      <w:r>
        <w:t xml:space="preserve"> </w:t>
      </w:r>
      <w:r w:rsidRPr="00BB291F">
        <w:rPr>
          <w:sz w:val="16"/>
          <w:szCs w:val="16"/>
        </w:rPr>
        <w:t>Documento obrante a fojas 160 de autos</w:t>
      </w:r>
    </w:p>
  </w:footnote>
  <w:footnote w:id="4">
    <w:p w:rsidR="00D66B2F" w:rsidRPr="00490381" w:rsidRDefault="00D66B2F" w:rsidP="00A00207">
      <w:pPr>
        <w:pStyle w:val="Textoindependiente"/>
        <w:ind w:left="142" w:hanging="142"/>
        <w:rPr>
          <w:b/>
          <w:bCs/>
          <w:iCs/>
          <w:sz w:val="16"/>
          <w:szCs w:val="16"/>
          <w:lang w:val="es-ES_tradnl"/>
        </w:rPr>
      </w:pPr>
      <w:r w:rsidRPr="00FE195E">
        <w:rPr>
          <w:rStyle w:val="Refdenotaalpie"/>
          <w:i/>
          <w:iCs/>
          <w:sz w:val="18"/>
          <w:szCs w:val="18"/>
        </w:rPr>
        <w:footnoteRef/>
      </w:r>
      <w:r w:rsidRPr="00FE195E">
        <w:rPr>
          <w:b/>
          <w:bCs/>
          <w:i/>
          <w:iCs/>
          <w:sz w:val="18"/>
          <w:szCs w:val="18"/>
        </w:rPr>
        <w:t xml:space="preserve"> </w:t>
      </w:r>
      <w:r w:rsidRPr="00490381">
        <w:rPr>
          <w:b/>
          <w:bCs/>
          <w:iCs/>
          <w:sz w:val="16"/>
          <w:szCs w:val="16"/>
          <w:lang w:val="es-ES_tradnl"/>
        </w:rPr>
        <w:t>Artículo 302.- Determinación gradual de la sanción.-</w:t>
      </w:r>
    </w:p>
    <w:p w:rsidR="00D66B2F" w:rsidRPr="00490381" w:rsidRDefault="00D66B2F" w:rsidP="00A00207">
      <w:pPr>
        <w:pStyle w:val="Textoindependiente"/>
        <w:ind w:left="142"/>
        <w:rPr>
          <w:iCs/>
          <w:sz w:val="16"/>
          <w:szCs w:val="16"/>
          <w:lang w:val="es-ES_tradnl"/>
        </w:rPr>
      </w:pPr>
      <w:r w:rsidRPr="00490381">
        <w:rPr>
          <w:iCs/>
          <w:sz w:val="16"/>
          <w:szCs w:val="16"/>
          <w:lang w:val="es-ES_tradnl"/>
        </w:rPr>
        <w:t>Para graduar la sanción a imponerse conforme a las disposiciones del presente Título, se considerarán los siguientes criterios:</w:t>
      </w:r>
    </w:p>
    <w:p w:rsidR="00D66B2F" w:rsidRPr="00490381" w:rsidRDefault="00D66B2F" w:rsidP="00A00207">
      <w:pPr>
        <w:pStyle w:val="Textoindependiente"/>
        <w:numPr>
          <w:ilvl w:val="0"/>
          <w:numId w:val="3"/>
        </w:numPr>
        <w:tabs>
          <w:tab w:val="clear" w:pos="644"/>
          <w:tab w:val="num" w:pos="284"/>
        </w:tabs>
        <w:spacing w:after="0" w:line="240" w:lineRule="auto"/>
        <w:ind w:left="284" w:firstLine="0"/>
        <w:jc w:val="both"/>
        <w:rPr>
          <w:iCs/>
          <w:sz w:val="16"/>
          <w:szCs w:val="16"/>
          <w:lang w:val="es-ES_tradnl"/>
        </w:rPr>
      </w:pPr>
      <w:r w:rsidRPr="00490381">
        <w:rPr>
          <w:iCs/>
          <w:sz w:val="16"/>
          <w:szCs w:val="16"/>
          <w:lang w:val="es-ES_tradnl"/>
        </w:rPr>
        <w:t>Naturaleza de la infracción.</w:t>
      </w:r>
    </w:p>
    <w:p w:rsidR="00D66B2F" w:rsidRPr="00490381" w:rsidRDefault="00D66B2F" w:rsidP="00A00207">
      <w:pPr>
        <w:pStyle w:val="Textoindependiente"/>
        <w:numPr>
          <w:ilvl w:val="0"/>
          <w:numId w:val="3"/>
        </w:numPr>
        <w:tabs>
          <w:tab w:val="clear" w:pos="644"/>
          <w:tab w:val="num" w:pos="284"/>
        </w:tabs>
        <w:spacing w:after="0" w:line="240" w:lineRule="auto"/>
        <w:ind w:left="284" w:firstLine="0"/>
        <w:jc w:val="both"/>
        <w:rPr>
          <w:iCs/>
          <w:sz w:val="16"/>
          <w:szCs w:val="16"/>
          <w:lang w:val="es-ES_tradnl"/>
        </w:rPr>
      </w:pPr>
      <w:r w:rsidRPr="00490381">
        <w:rPr>
          <w:iCs/>
          <w:sz w:val="16"/>
          <w:szCs w:val="16"/>
          <w:lang w:val="es-ES_tradnl"/>
        </w:rPr>
        <w:t>Intencionalidad del infractor.</w:t>
      </w:r>
    </w:p>
    <w:p w:rsidR="00D66B2F" w:rsidRPr="00490381" w:rsidRDefault="00D66B2F" w:rsidP="00A00207">
      <w:pPr>
        <w:pStyle w:val="Textoindependiente"/>
        <w:numPr>
          <w:ilvl w:val="0"/>
          <w:numId w:val="3"/>
        </w:numPr>
        <w:tabs>
          <w:tab w:val="clear" w:pos="644"/>
          <w:tab w:val="num" w:pos="284"/>
        </w:tabs>
        <w:spacing w:after="0" w:line="240" w:lineRule="auto"/>
        <w:ind w:left="284" w:firstLine="0"/>
        <w:jc w:val="both"/>
        <w:rPr>
          <w:iCs/>
          <w:sz w:val="16"/>
          <w:szCs w:val="16"/>
          <w:lang w:val="es-ES_tradnl"/>
        </w:rPr>
      </w:pPr>
      <w:r w:rsidRPr="00490381">
        <w:rPr>
          <w:iCs/>
          <w:sz w:val="16"/>
          <w:szCs w:val="16"/>
          <w:lang w:val="es-ES_tradnl"/>
        </w:rPr>
        <w:t>Daño causado.</w:t>
      </w:r>
    </w:p>
    <w:p w:rsidR="00D66B2F" w:rsidRPr="00490381" w:rsidRDefault="00D66B2F" w:rsidP="00A00207">
      <w:pPr>
        <w:pStyle w:val="Textoindependiente"/>
        <w:numPr>
          <w:ilvl w:val="0"/>
          <w:numId w:val="3"/>
        </w:numPr>
        <w:tabs>
          <w:tab w:val="clear" w:pos="644"/>
          <w:tab w:val="num" w:pos="284"/>
        </w:tabs>
        <w:spacing w:after="0" w:line="240" w:lineRule="auto"/>
        <w:ind w:left="284" w:firstLine="0"/>
        <w:jc w:val="both"/>
        <w:rPr>
          <w:iCs/>
          <w:sz w:val="16"/>
          <w:szCs w:val="16"/>
          <w:lang w:val="es-ES_tradnl"/>
        </w:rPr>
      </w:pPr>
      <w:r w:rsidRPr="00490381">
        <w:rPr>
          <w:iCs/>
          <w:sz w:val="16"/>
          <w:szCs w:val="16"/>
          <w:lang w:val="es-ES_tradnl"/>
        </w:rPr>
        <w:t>Reiterancia.</w:t>
      </w:r>
    </w:p>
    <w:p w:rsidR="00D66B2F" w:rsidRPr="00490381" w:rsidRDefault="00D66B2F" w:rsidP="00A00207">
      <w:pPr>
        <w:pStyle w:val="Textoindependiente"/>
        <w:numPr>
          <w:ilvl w:val="0"/>
          <w:numId w:val="3"/>
        </w:numPr>
        <w:tabs>
          <w:tab w:val="clear" w:pos="644"/>
          <w:tab w:val="num" w:pos="284"/>
        </w:tabs>
        <w:spacing w:after="0" w:line="240" w:lineRule="auto"/>
        <w:ind w:left="284" w:firstLine="0"/>
        <w:jc w:val="both"/>
        <w:rPr>
          <w:iCs/>
          <w:sz w:val="16"/>
          <w:szCs w:val="16"/>
          <w:lang w:val="es-ES_tradnl"/>
        </w:rPr>
      </w:pPr>
      <w:r w:rsidRPr="00490381">
        <w:rPr>
          <w:iCs/>
          <w:sz w:val="16"/>
          <w:szCs w:val="16"/>
          <w:lang w:val="es-ES_tradnl"/>
        </w:rPr>
        <w:t>El reconocimiento de la infracción cometida antes de que sea detectada.</w:t>
      </w:r>
    </w:p>
    <w:p w:rsidR="00D66B2F" w:rsidRPr="00490381" w:rsidRDefault="00D66B2F" w:rsidP="00A00207">
      <w:pPr>
        <w:pStyle w:val="Textoindependiente"/>
        <w:numPr>
          <w:ilvl w:val="0"/>
          <w:numId w:val="3"/>
        </w:numPr>
        <w:tabs>
          <w:tab w:val="clear" w:pos="644"/>
          <w:tab w:val="num" w:pos="284"/>
        </w:tabs>
        <w:spacing w:after="0" w:line="240" w:lineRule="auto"/>
        <w:ind w:left="284" w:firstLine="0"/>
        <w:jc w:val="both"/>
        <w:rPr>
          <w:iCs/>
          <w:sz w:val="16"/>
          <w:szCs w:val="16"/>
          <w:lang w:val="es-ES_tradnl"/>
        </w:rPr>
      </w:pPr>
      <w:r w:rsidRPr="00490381">
        <w:rPr>
          <w:iCs/>
          <w:sz w:val="16"/>
          <w:szCs w:val="16"/>
          <w:lang w:val="es-ES_tradnl"/>
        </w:rPr>
        <w:t>Circunstancias de tiempo, lugar y modo.</w:t>
      </w:r>
    </w:p>
    <w:p w:rsidR="00D66B2F" w:rsidRPr="00490381" w:rsidRDefault="00D66B2F" w:rsidP="00A00207">
      <w:pPr>
        <w:pStyle w:val="Textoindependiente"/>
        <w:numPr>
          <w:ilvl w:val="0"/>
          <w:numId w:val="3"/>
        </w:numPr>
        <w:tabs>
          <w:tab w:val="clear" w:pos="644"/>
          <w:tab w:val="num" w:pos="284"/>
        </w:tabs>
        <w:spacing w:after="0" w:line="240" w:lineRule="auto"/>
        <w:ind w:left="284" w:firstLine="0"/>
        <w:jc w:val="both"/>
        <w:rPr>
          <w:iCs/>
          <w:sz w:val="16"/>
          <w:szCs w:val="16"/>
          <w:lang w:val="es-ES_tradnl"/>
        </w:rPr>
      </w:pPr>
      <w:r w:rsidRPr="00490381">
        <w:rPr>
          <w:iCs/>
          <w:sz w:val="16"/>
          <w:szCs w:val="16"/>
          <w:lang w:val="es-ES_tradnl"/>
        </w:rPr>
        <w:t>Condiciones del infractor.</w:t>
      </w:r>
    </w:p>
    <w:p w:rsidR="00D66B2F" w:rsidRPr="00490381" w:rsidRDefault="00D66B2F" w:rsidP="00A00207">
      <w:pPr>
        <w:pStyle w:val="Textoindependiente"/>
        <w:numPr>
          <w:ilvl w:val="0"/>
          <w:numId w:val="3"/>
        </w:numPr>
        <w:tabs>
          <w:tab w:val="clear" w:pos="644"/>
          <w:tab w:val="num" w:pos="720"/>
        </w:tabs>
        <w:spacing w:after="0" w:line="240" w:lineRule="auto"/>
        <w:ind w:left="567" w:hanging="283"/>
        <w:jc w:val="both"/>
        <w:rPr>
          <w:iCs/>
          <w:sz w:val="16"/>
          <w:szCs w:val="16"/>
          <w:lang w:val="es-ES_tradnl"/>
        </w:rPr>
      </w:pPr>
      <w:r>
        <w:rPr>
          <w:iCs/>
          <w:sz w:val="16"/>
          <w:szCs w:val="16"/>
          <w:lang w:val="es-ES_tradnl"/>
        </w:rPr>
        <w:t xml:space="preserve">  </w:t>
      </w:r>
      <w:r w:rsidRPr="00490381">
        <w:rPr>
          <w:iCs/>
          <w:sz w:val="16"/>
          <w:szCs w:val="16"/>
          <w:lang w:val="es-ES_tradnl"/>
        </w:rPr>
        <w:t>Conducta procesal del infractor.</w:t>
      </w:r>
    </w:p>
    <w:p w:rsidR="00D66B2F" w:rsidRPr="00490381" w:rsidRDefault="00D66B2F" w:rsidP="00A00207">
      <w:pPr>
        <w:pStyle w:val="Textoindependiente"/>
        <w:ind w:left="709" w:hanging="142"/>
        <w:rPr>
          <w:sz w:val="16"/>
          <w:szCs w:val="16"/>
        </w:rPr>
      </w:pPr>
      <w:r w:rsidRPr="00490381">
        <w:rPr>
          <w:iCs/>
          <w:sz w:val="16"/>
          <w:szCs w:val="16"/>
          <w:lang w:val="es-ES_tradnl"/>
        </w:rPr>
        <w:t xml:space="preserve">   El Tribunal podrá disminuir la sanción hasta límites inferiores al mínimo fijado para cada caso, cuando   considere que existen circunstancias atenuantes de la responsabilidad del infractor.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66" w:rsidRDefault="00357D66" w:rsidP="00357D66">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357D66" w:rsidRDefault="00357D66" w:rsidP="00357D66">
    <w:pPr>
      <w:pStyle w:val="Encabezado"/>
      <w:rPr>
        <w:noProof/>
      </w:rPr>
    </w:pPr>
  </w:p>
  <w:p w:rsidR="00357D66" w:rsidRDefault="00357D66" w:rsidP="00357D66">
    <w:pPr>
      <w:pStyle w:val="Encabezado"/>
      <w:jc w:val="center"/>
      <w:rPr>
        <w:rFonts w:ascii="Monotype Corsiva" w:hAnsi="Monotype Corsiva"/>
        <w:b/>
        <w:sz w:val="44"/>
        <w:szCs w:val="44"/>
      </w:rPr>
    </w:pPr>
  </w:p>
  <w:p w:rsidR="00357D66" w:rsidRDefault="00357D66" w:rsidP="00357D66">
    <w:pPr>
      <w:pStyle w:val="Encabezado"/>
      <w:jc w:val="center"/>
    </w:pPr>
    <w:r>
      <w:rPr>
        <w:rFonts w:ascii="Monotype Corsiva" w:hAnsi="Monotype Corsiva"/>
        <w:b/>
        <w:sz w:val="44"/>
        <w:szCs w:val="44"/>
      </w:rPr>
      <w:t xml:space="preserve">Resolución Nº   </w:t>
    </w:r>
    <w:r>
      <w:rPr>
        <w:rFonts w:ascii="Tahoma" w:hAnsi="Tahoma" w:cs="Tahoma"/>
        <w:b/>
        <w:sz w:val="44"/>
        <w:szCs w:val="44"/>
      </w:rPr>
      <w:t>1156-2011-TC-S1</w:t>
    </w:r>
  </w:p>
  <w:p w:rsidR="00357D66" w:rsidRDefault="00357D6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9661A"/>
    <w:multiLevelType w:val="hybridMultilevel"/>
    <w:tmpl w:val="896EEB22"/>
    <w:lvl w:ilvl="0" w:tplc="B9A0C6C8">
      <w:start w:val="1"/>
      <w:numFmt w:val="decimal"/>
      <w:lvlText w:val="%1."/>
      <w:lvlJc w:val="left"/>
      <w:pPr>
        <w:tabs>
          <w:tab w:val="num" w:pos="454"/>
        </w:tabs>
        <w:ind w:left="454" w:hanging="454"/>
      </w:pPr>
      <w:rPr>
        <w:rFonts w:ascii="Tahoma" w:hAnsi="Tahoma" w:cs="Tahoma" w:hint="default"/>
        <w:b/>
        <w:bCs/>
        <w:i w:val="0"/>
        <w:iCs w:val="0"/>
        <w:shadow/>
        <w:emboss w:val="0"/>
        <w:imprint w:val="0"/>
        <w:color w:val="auto"/>
        <w:sz w:val="20"/>
        <w:szCs w:val="20"/>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bCs/>
        <w:sz w:val="22"/>
        <w:szCs w:val="22"/>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2">
    <w:nsid w:val="2A535F9F"/>
    <w:multiLevelType w:val="hybridMultilevel"/>
    <w:tmpl w:val="1D3E563E"/>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3">
    <w:nsid w:val="2A604CF2"/>
    <w:multiLevelType w:val="hybridMultilevel"/>
    <w:tmpl w:val="08A6192E"/>
    <w:lvl w:ilvl="0" w:tplc="52CCEF68">
      <w:start w:val="1"/>
      <w:numFmt w:val="decimal"/>
      <w:lvlText w:val="%1)"/>
      <w:lvlJc w:val="left"/>
      <w:pPr>
        <w:tabs>
          <w:tab w:val="num" w:pos="644"/>
        </w:tabs>
        <w:ind w:left="644" w:hanging="360"/>
      </w:pPr>
      <w:rPr>
        <w:rFonts w:hint="default"/>
        <w:b w:val="0"/>
        <w:bCs w:val="0"/>
        <w:i w:val="0"/>
        <w:iCs w:val="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46667BB"/>
    <w:multiLevelType w:val="hybridMultilevel"/>
    <w:tmpl w:val="7C8EB52E"/>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6">
    <w:nsid w:val="376B5313"/>
    <w:multiLevelType w:val="hybridMultilevel"/>
    <w:tmpl w:val="7B0281FC"/>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7">
    <w:nsid w:val="482A3B48"/>
    <w:multiLevelType w:val="hybridMultilevel"/>
    <w:tmpl w:val="FBF80F62"/>
    <w:lvl w:ilvl="0" w:tplc="A9AEF424">
      <w:start w:val="1"/>
      <w:numFmt w:val="lowerLetter"/>
      <w:lvlText w:val="%1."/>
      <w:lvlJc w:val="left"/>
      <w:pPr>
        <w:ind w:left="1440" w:hanging="360"/>
      </w:pPr>
      <w:rPr>
        <w:rFonts w:hint="default"/>
        <w:b w:val="0"/>
        <w:bCs w:val="0"/>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8">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621466D9"/>
    <w:multiLevelType w:val="hybridMultilevel"/>
    <w:tmpl w:val="C41AC5B4"/>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num w:numId="1">
    <w:abstractNumId w:val="0"/>
  </w:num>
  <w:num w:numId="2">
    <w:abstractNumId w:val="8"/>
  </w:num>
  <w:num w:numId="3">
    <w:abstractNumId w:val="3"/>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10"/>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187C3D"/>
    <w:rsid w:val="00022E69"/>
    <w:rsid w:val="000A3341"/>
    <w:rsid w:val="00182439"/>
    <w:rsid w:val="00187C3D"/>
    <w:rsid w:val="001A5D08"/>
    <w:rsid w:val="001F4B20"/>
    <w:rsid w:val="00267357"/>
    <w:rsid w:val="00272AD5"/>
    <w:rsid w:val="002C1847"/>
    <w:rsid w:val="00357D66"/>
    <w:rsid w:val="00377D9D"/>
    <w:rsid w:val="00497C7C"/>
    <w:rsid w:val="004B74C6"/>
    <w:rsid w:val="004F4DCD"/>
    <w:rsid w:val="00507A71"/>
    <w:rsid w:val="0066645E"/>
    <w:rsid w:val="00673BBB"/>
    <w:rsid w:val="00783FE2"/>
    <w:rsid w:val="00842F17"/>
    <w:rsid w:val="008E75A3"/>
    <w:rsid w:val="00916E37"/>
    <w:rsid w:val="0096071E"/>
    <w:rsid w:val="009625FE"/>
    <w:rsid w:val="00964036"/>
    <w:rsid w:val="00973730"/>
    <w:rsid w:val="00A00207"/>
    <w:rsid w:val="00A20315"/>
    <w:rsid w:val="00A74607"/>
    <w:rsid w:val="00B60068"/>
    <w:rsid w:val="00C34B83"/>
    <w:rsid w:val="00CD0AC9"/>
    <w:rsid w:val="00D11782"/>
    <w:rsid w:val="00D66B2F"/>
    <w:rsid w:val="00DD1113"/>
    <w:rsid w:val="00E969B7"/>
    <w:rsid w:val="00EC23BB"/>
    <w:rsid w:val="00F97C71"/>
    <w:rsid w:val="00FA0BD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C3D"/>
    <w:rPr>
      <w:rFonts w:ascii="Calibri" w:eastAsia="Calibri" w:hAnsi="Calibri" w:cs="Times New Roman"/>
    </w:rPr>
  </w:style>
  <w:style w:type="paragraph" w:styleId="Ttulo2">
    <w:name w:val="heading 2"/>
    <w:basedOn w:val="Normal"/>
    <w:next w:val="Normal"/>
    <w:link w:val="Ttulo2Car"/>
    <w:qFormat/>
    <w:rsid w:val="00187C3D"/>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187C3D"/>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87C3D"/>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187C3D"/>
    <w:rPr>
      <w:rFonts w:ascii="Arial" w:eastAsia="Calibri" w:hAnsi="Arial" w:cs="Arial"/>
      <w:b/>
      <w:bCs/>
      <w:sz w:val="26"/>
      <w:szCs w:val="26"/>
    </w:rPr>
  </w:style>
  <w:style w:type="paragraph" w:styleId="Textoindependiente3">
    <w:name w:val="Body Text 3"/>
    <w:basedOn w:val="Normal"/>
    <w:link w:val="Textoindependiente3Car"/>
    <w:semiHidden/>
    <w:unhideWhenUsed/>
    <w:rsid w:val="00187C3D"/>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187C3D"/>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187C3D"/>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187C3D"/>
    <w:pPr>
      <w:tabs>
        <w:tab w:val="center" w:pos="4252"/>
        <w:tab w:val="right" w:pos="8504"/>
      </w:tabs>
    </w:pPr>
  </w:style>
  <w:style w:type="character" w:customStyle="1" w:styleId="PiedepginaCar">
    <w:name w:val="Pie de página Car"/>
    <w:basedOn w:val="Fuentedeprrafopredeter"/>
    <w:link w:val="Piedepgina"/>
    <w:uiPriority w:val="99"/>
    <w:rsid w:val="00187C3D"/>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187C3D"/>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187C3D"/>
    <w:rPr>
      <w:rFonts w:ascii="Tahoma" w:eastAsia="Calibri" w:hAnsi="Tahoma" w:cs="Tahoma"/>
      <w:sz w:val="20"/>
      <w:szCs w:val="20"/>
    </w:rPr>
  </w:style>
  <w:style w:type="character" w:styleId="Refdenotaalpie">
    <w:name w:val="footnote reference"/>
    <w:basedOn w:val="Fuentedeprrafopredeter"/>
    <w:uiPriority w:val="99"/>
    <w:semiHidden/>
    <w:rsid w:val="00187C3D"/>
    <w:rPr>
      <w:vertAlign w:val="superscript"/>
    </w:rPr>
  </w:style>
  <w:style w:type="paragraph" w:styleId="Textoindependiente">
    <w:name w:val="Body Text"/>
    <w:basedOn w:val="Normal"/>
    <w:link w:val="TextoindependienteCar"/>
    <w:uiPriority w:val="99"/>
    <w:semiHidden/>
    <w:unhideWhenUsed/>
    <w:rsid w:val="00187C3D"/>
    <w:pPr>
      <w:spacing w:after="120"/>
    </w:pPr>
  </w:style>
  <w:style w:type="character" w:customStyle="1" w:styleId="TextoindependienteCar">
    <w:name w:val="Texto independiente Car"/>
    <w:basedOn w:val="Fuentedeprrafopredeter"/>
    <w:link w:val="Textoindependiente"/>
    <w:uiPriority w:val="99"/>
    <w:semiHidden/>
    <w:rsid w:val="00187C3D"/>
    <w:rPr>
      <w:rFonts w:ascii="Calibri" w:eastAsia="Calibri" w:hAnsi="Calibri" w:cs="Times New Roman"/>
    </w:rPr>
  </w:style>
  <w:style w:type="paragraph" w:styleId="NormalWeb">
    <w:name w:val="Normal (Web)"/>
    <w:basedOn w:val="Normal"/>
    <w:uiPriority w:val="99"/>
    <w:rsid w:val="00187C3D"/>
    <w:pPr>
      <w:spacing w:before="100" w:beforeAutospacing="1" w:after="100" w:afterAutospacing="1" w:line="240" w:lineRule="auto"/>
    </w:pPr>
    <w:rPr>
      <w:rFonts w:ascii="Times New Roman" w:hAnsi="Times New Roman"/>
      <w:sz w:val="24"/>
      <w:szCs w:val="24"/>
      <w:lang w:eastAsia="es-ES"/>
    </w:rPr>
  </w:style>
  <w:style w:type="character" w:customStyle="1" w:styleId="nw1">
    <w:name w:val="nw1"/>
    <w:basedOn w:val="Fuentedeprrafopredeter"/>
    <w:uiPriority w:val="99"/>
    <w:rsid w:val="00A00207"/>
  </w:style>
  <w:style w:type="paragraph" w:styleId="Encabezado">
    <w:name w:val="header"/>
    <w:aliases w:val="maria,h"/>
    <w:basedOn w:val="Normal"/>
    <w:link w:val="EncabezadoCar"/>
    <w:uiPriority w:val="99"/>
    <w:semiHidden/>
    <w:unhideWhenUsed/>
    <w:rsid w:val="00357D66"/>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357D6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2328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13</Pages>
  <Words>5579</Words>
  <Characters>30688</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22</cp:revision>
  <cp:lastPrinted>2011-06-30T21:54:00Z</cp:lastPrinted>
  <dcterms:created xsi:type="dcterms:W3CDTF">2011-06-30T19:53:00Z</dcterms:created>
  <dcterms:modified xsi:type="dcterms:W3CDTF">2011-08-24T14:44:00Z</dcterms:modified>
</cp:coreProperties>
</file>